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62.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theme/themeOverride67.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Default Extension="png" ContentType="image/png"/>
  <Override PartName="/word/theme/themeOverride16.xml" ContentType="application/vnd.openxmlformats-officedocument.themeOverride+xml"/>
  <Override PartName="/word/theme/themeOverride34.xml" ContentType="application/vnd.openxmlformats-officedocument.themeOverride+xml"/>
  <Override PartName="/word/theme/themeOverride63.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70.xml" ContentType="application/vnd.openxmlformats-officedocument.themeOverride+xml"/>
  <Default Extension="emf" ContentType="image/x-emf"/>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3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Override59.xml" ContentType="application/vnd.openxmlformats-officedocument.themeOverride+xml"/>
  <Override PartName="/word/charts/chart72.xml" ContentType="application/vnd.openxmlformats-officedocument.drawingml.chart+xml"/>
  <Override PartName="/word/theme/themeOverride68.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61.xml" ContentType="application/vnd.openxmlformats-officedocument.drawingml.chart+xml"/>
  <Override PartName="/word/theme/themeOverride57.xml" ContentType="application/vnd.openxmlformats-officedocument.themeOverride+xml"/>
  <Override PartName="/word/charts/chart70.xml" ContentType="application/vnd.openxmlformats-officedocument.drawingml.chart+xml"/>
  <Override PartName="/word/theme/themeOverride66.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theme/themeOverride64.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Default Extension="sldm" ContentType="application/vnd.ms-powerpoint.slide.macroEnabled.12"/>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71.xml" ContentType="application/vnd.openxmlformats-officedocument.themeOverride+xml"/>
  <Default Extension="wmf" ContentType="image/x-wmf"/>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theme/themeOverride69.xml" ContentType="application/vnd.openxmlformats-officedocument.themeOverride+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Default Extension="sldx" ContentType="application/vnd.openxmlformats-officedocument.presentationml.slide"/>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65.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72.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Default Extension="jpeg" ContentType="image/jpeg"/>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484" w:rsidRDefault="00CD1585" w:rsidP="00422484">
      <w:r>
        <w:rPr>
          <w:noProof/>
          <w:lang w:eastAsia="nb-NO"/>
        </w:rPr>
        <w:drawing>
          <wp:anchor distT="0" distB="0" distL="114300" distR="114300" simplePos="0" relativeHeight="251657728" behindDoc="0" locked="0" layoutInCell="1" allowOverlap="1">
            <wp:simplePos x="0" y="0"/>
            <wp:positionH relativeFrom="column">
              <wp:posOffset>-156238</wp:posOffset>
            </wp:positionH>
            <wp:positionV relativeFrom="paragraph">
              <wp:posOffset>-340664</wp:posOffset>
            </wp:positionV>
            <wp:extent cx="2738783" cy="500932"/>
            <wp:effectExtent l="19050" t="0" r="4417"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2738783" cy="500932"/>
                    </a:xfrm>
                    <a:prstGeom prst="rect">
                      <a:avLst/>
                    </a:prstGeom>
                    <a:noFill/>
                    <a:ln w="9525">
                      <a:noFill/>
                      <a:miter lim="800000"/>
                      <a:headEnd/>
                      <a:tailEnd/>
                    </a:ln>
                  </pic:spPr>
                </pic:pic>
              </a:graphicData>
            </a:graphic>
          </wp:anchor>
        </w:drawing>
      </w:r>
    </w:p>
    <w:p w:rsidR="008E1C02" w:rsidRDefault="004F1529" w:rsidP="00422484">
      <w:pPr>
        <w:jc w:val="center"/>
      </w:pPr>
      <w:r>
        <w:object w:dxaOrig="960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4pt;height:436.3pt" o:ole="">
            <v:imagedata r:id="rId9" o:title="" croptop="1811f" cropbottom="2807f" cropleft="8897f" cropright="22898f"/>
          </v:shape>
          <o:OLEObject Type="Embed" ProgID="PowerPoint.SlideMacroEnabled.12" ShapeID="_x0000_i1025" DrawAspect="Content" ObjectID="_1484073976" r:id="rId10"/>
        </w:object>
      </w:r>
    </w:p>
    <w:p w:rsidR="008E434A" w:rsidRDefault="000A5804" w:rsidP="00D01FB1">
      <w:pPr>
        <w:pStyle w:val="Framsidetittel"/>
        <w:ind w:right="-993"/>
      </w:pPr>
      <w:r>
        <w:t>Regional analyse for</w:t>
      </w:r>
    </w:p>
    <w:p w:rsidR="00422484" w:rsidRPr="00A27599" w:rsidRDefault="00F30CE1" w:rsidP="00D01FB1">
      <w:pPr>
        <w:pStyle w:val="Framsidetittel"/>
        <w:ind w:right="-993"/>
      </w:pPr>
      <w:proofErr w:type="spellStart"/>
      <w:r>
        <w:t>Glåmdal</w:t>
      </w:r>
      <w:proofErr w:type="spellEnd"/>
      <w:r w:rsidR="000A5804">
        <w:t xml:space="preserve"> 2014</w:t>
      </w:r>
    </w:p>
    <w:p w:rsidR="005F2B4A" w:rsidRDefault="008E1C02" w:rsidP="000A5804">
      <w:pPr>
        <w:pStyle w:val="Framsideundertittel"/>
        <w:ind w:left="0" w:right="-34"/>
      </w:pPr>
      <w:r>
        <w:t xml:space="preserve">Befolkningsutvikling, </w:t>
      </w:r>
      <w:r w:rsidR="008E434A">
        <w:t>næringsutvikling</w:t>
      </w:r>
      <w:r w:rsidR="000A5804">
        <w:t>, attraktivitet</w:t>
      </w:r>
      <w:r>
        <w:t xml:space="preserve"> og </w:t>
      </w:r>
      <w:proofErr w:type="spellStart"/>
      <w:r>
        <w:t>scenarier</w:t>
      </w:r>
      <w:proofErr w:type="spellEnd"/>
    </w:p>
    <w:p w:rsidR="00422484" w:rsidRPr="00C6390E" w:rsidRDefault="008E434A" w:rsidP="00D01FB1">
      <w:pPr>
        <w:pStyle w:val="NormalFORSIDEs"/>
        <w:ind w:right="-993"/>
        <w:rPr>
          <w:color w:val="808080" w:themeColor="background1" w:themeShade="80"/>
        </w:rPr>
      </w:pPr>
      <w:r>
        <w:rPr>
          <w:color w:val="808080" w:themeColor="background1" w:themeShade="80"/>
        </w:rPr>
        <w:t>KNUT VAREIDE &amp; MARIT O. NYGAARD</w:t>
      </w:r>
    </w:p>
    <w:p w:rsidR="006E2E57" w:rsidRDefault="006A3296" w:rsidP="00E737D0">
      <w:pPr>
        <w:pStyle w:val="NormalFORSIDEs"/>
        <w:ind w:right="-993"/>
      </w:pPr>
      <w:proofErr w:type="spellStart"/>
      <w:r w:rsidRPr="00C6390E">
        <w:rPr>
          <w:color w:val="808080" w:themeColor="background1" w:themeShade="80"/>
        </w:rPr>
        <w:t>TF-</w:t>
      </w:r>
      <w:r w:rsidR="00FF1083" w:rsidRPr="00C6390E">
        <w:rPr>
          <w:color w:val="808080" w:themeColor="background1" w:themeShade="80"/>
        </w:rPr>
        <w:t>notat</w:t>
      </w:r>
      <w:proofErr w:type="spellEnd"/>
      <w:r w:rsidRPr="00C6390E">
        <w:rPr>
          <w:color w:val="808080" w:themeColor="background1" w:themeShade="80"/>
        </w:rPr>
        <w:t xml:space="preserve"> nr.</w:t>
      </w:r>
      <w:r w:rsidR="00BA4920">
        <w:rPr>
          <w:color w:val="808080" w:themeColor="background1" w:themeShade="80"/>
        </w:rPr>
        <w:t xml:space="preserve"> 75/2014</w:t>
      </w:r>
      <w:r w:rsidRPr="00C6390E">
        <w:rPr>
          <w:color w:val="808080" w:themeColor="background1" w:themeShade="80"/>
        </w:rPr>
        <w:t xml:space="preserve"> </w:t>
      </w:r>
      <w:r w:rsidR="00D41AC6">
        <w:br w:type="page"/>
      </w:r>
    </w:p>
    <w:tbl>
      <w:tblPr>
        <w:tblW w:w="9322" w:type="dxa"/>
        <w:tblLayout w:type="fixed"/>
        <w:tblLook w:val="01E0"/>
      </w:tblPr>
      <w:tblGrid>
        <w:gridCol w:w="1668"/>
        <w:gridCol w:w="7654"/>
      </w:tblGrid>
      <w:tr w:rsidR="006E2E57" w:rsidRPr="00556CEB" w:rsidTr="006E2E57">
        <w:trPr>
          <w:trHeight w:val="286"/>
        </w:trPr>
        <w:tc>
          <w:tcPr>
            <w:tcW w:w="1668" w:type="dxa"/>
            <w:shd w:val="clear" w:color="auto" w:fill="auto"/>
          </w:tcPr>
          <w:p w:rsidR="006E2E57" w:rsidRPr="00556CEB" w:rsidRDefault="006E2E57" w:rsidP="006E2E57">
            <w:pPr>
              <w:spacing w:before="60" w:after="60" w:line="240" w:lineRule="auto"/>
              <w:rPr>
                <w:sz w:val="18"/>
                <w:szCs w:val="18"/>
              </w:rPr>
            </w:pPr>
            <w:r>
              <w:lastRenderedPageBreak/>
              <w:br w:type="page"/>
            </w:r>
            <w:r w:rsidRPr="00556CEB">
              <w:rPr>
                <w:b/>
                <w:sz w:val="18"/>
                <w:szCs w:val="18"/>
              </w:rPr>
              <w:t>Tittel:</w:t>
            </w:r>
          </w:p>
        </w:tc>
        <w:tc>
          <w:tcPr>
            <w:tcW w:w="7654" w:type="dxa"/>
            <w:shd w:val="clear" w:color="auto" w:fill="auto"/>
          </w:tcPr>
          <w:p w:rsidR="006E2E57" w:rsidRPr="00556CEB" w:rsidRDefault="00D81993" w:rsidP="00B96F79">
            <w:pPr>
              <w:spacing w:before="60" w:after="60" w:line="240" w:lineRule="auto"/>
              <w:rPr>
                <w:sz w:val="18"/>
                <w:szCs w:val="18"/>
              </w:rPr>
            </w:pPr>
            <w:r>
              <w:rPr>
                <w:sz w:val="18"/>
                <w:szCs w:val="18"/>
              </w:rPr>
              <w:t xml:space="preserve">Regional analyse for </w:t>
            </w:r>
            <w:proofErr w:type="spellStart"/>
            <w:r w:rsidR="00B96F79">
              <w:rPr>
                <w:sz w:val="18"/>
                <w:szCs w:val="18"/>
              </w:rPr>
              <w:t>Glåmdal</w:t>
            </w:r>
            <w:proofErr w:type="spellEnd"/>
            <w:r>
              <w:rPr>
                <w:sz w:val="18"/>
                <w:szCs w:val="18"/>
              </w:rPr>
              <w:t xml:space="preserve"> 2014</w:t>
            </w:r>
            <w:r w:rsidR="006E2E57" w:rsidRPr="00556CEB">
              <w:rPr>
                <w:sz w:val="18"/>
                <w:szCs w:val="18"/>
              </w:rPr>
              <w:t xml:space="preserve"> </w:t>
            </w:r>
          </w:p>
        </w:tc>
      </w:tr>
      <w:tr w:rsidR="006E2E57" w:rsidRPr="00556CEB" w:rsidTr="006E2E57">
        <w:trPr>
          <w:trHeight w:val="271"/>
        </w:trPr>
        <w:tc>
          <w:tcPr>
            <w:tcW w:w="1668" w:type="dxa"/>
            <w:shd w:val="clear" w:color="auto" w:fill="auto"/>
          </w:tcPr>
          <w:p w:rsidR="006E2E57" w:rsidRPr="00556CEB" w:rsidRDefault="006E2E57" w:rsidP="006E2E57">
            <w:pPr>
              <w:tabs>
                <w:tab w:val="left" w:pos="3402"/>
              </w:tabs>
              <w:spacing w:after="60" w:line="240" w:lineRule="auto"/>
              <w:rPr>
                <w:b/>
                <w:sz w:val="18"/>
                <w:szCs w:val="18"/>
              </w:rPr>
            </w:pPr>
            <w:r w:rsidRPr="00556CEB">
              <w:rPr>
                <w:b/>
                <w:sz w:val="18"/>
                <w:szCs w:val="18"/>
              </w:rPr>
              <w:t>Undertittel:</w:t>
            </w:r>
          </w:p>
        </w:tc>
        <w:tc>
          <w:tcPr>
            <w:tcW w:w="7654" w:type="dxa"/>
            <w:shd w:val="clear" w:color="auto" w:fill="auto"/>
          </w:tcPr>
          <w:p w:rsidR="006E2E57" w:rsidRPr="00556CEB" w:rsidRDefault="00D81993" w:rsidP="005541EE">
            <w:pPr>
              <w:spacing w:after="60" w:line="240" w:lineRule="auto"/>
              <w:rPr>
                <w:sz w:val="18"/>
                <w:szCs w:val="18"/>
              </w:rPr>
            </w:pPr>
            <w:r>
              <w:rPr>
                <w:sz w:val="18"/>
                <w:szCs w:val="18"/>
              </w:rPr>
              <w:t xml:space="preserve">Befolkningsutvikling, næringsutvikling, attraktivitet og </w:t>
            </w:r>
            <w:proofErr w:type="spellStart"/>
            <w:r>
              <w:rPr>
                <w:sz w:val="18"/>
                <w:szCs w:val="18"/>
              </w:rPr>
              <w:t>scenarier</w:t>
            </w:r>
            <w:proofErr w:type="spellEnd"/>
            <w:r w:rsidR="006E2E57">
              <w:rPr>
                <w:sz w:val="18"/>
                <w:szCs w:val="18"/>
              </w:rPr>
              <w:t xml:space="preserve"> </w:t>
            </w:r>
          </w:p>
        </w:tc>
      </w:tr>
      <w:tr w:rsidR="006E2E57" w:rsidRPr="00556CEB" w:rsidTr="006E2E57">
        <w:trPr>
          <w:trHeight w:val="271"/>
        </w:trPr>
        <w:tc>
          <w:tcPr>
            <w:tcW w:w="1668" w:type="dxa"/>
            <w:shd w:val="clear" w:color="auto" w:fill="auto"/>
          </w:tcPr>
          <w:p w:rsidR="006E2E57" w:rsidRPr="00556CEB" w:rsidRDefault="006E2E57" w:rsidP="006E2E57">
            <w:pPr>
              <w:tabs>
                <w:tab w:val="left" w:pos="3402"/>
              </w:tabs>
              <w:spacing w:after="60" w:line="240" w:lineRule="auto"/>
              <w:rPr>
                <w:b/>
                <w:sz w:val="18"/>
                <w:szCs w:val="18"/>
              </w:rPr>
            </w:pPr>
            <w:proofErr w:type="spellStart"/>
            <w:r w:rsidRPr="00556CEB">
              <w:rPr>
                <w:b/>
                <w:sz w:val="18"/>
                <w:szCs w:val="18"/>
              </w:rPr>
              <w:t>TF-</w:t>
            </w:r>
            <w:r>
              <w:rPr>
                <w:b/>
                <w:sz w:val="18"/>
                <w:szCs w:val="18"/>
              </w:rPr>
              <w:t>notat</w:t>
            </w:r>
            <w:proofErr w:type="spellEnd"/>
            <w:r w:rsidRPr="00556CEB">
              <w:rPr>
                <w:b/>
                <w:sz w:val="18"/>
                <w:szCs w:val="18"/>
              </w:rPr>
              <w:t xml:space="preserve"> nr:</w:t>
            </w:r>
            <w:r w:rsidRPr="00556CEB">
              <w:rPr>
                <w:sz w:val="18"/>
                <w:szCs w:val="18"/>
              </w:rPr>
              <w:t xml:space="preserve"> </w:t>
            </w:r>
          </w:p>
        </w:tc>
        <w:tc>
          <w:tcPr>
            <w:tcW w:w="7654" w:type="dxa"/>
            <w:shd w:val="clear" w:color="auto" w:fill="auto"/>
          </w:tcPr>
          <w:p w:rsidR="006E2E57" w:rsidRPr="00556CEB" w:rsidRDefault="00BA4920" w:rsidP="006E2E57">
            <w:pPr>
              <w:spacing w:after="60" w:line="240" w:lineRule="auto"/>
              <w:rPr>
                <w:sz w:val="18"/>
                <w:szCs w:val="18"/>
              </w:rPr>
            </w:pPr>
            <w:r>
              <w:rPr>
                <w:sz w:val="18"/>
                <w:szCs w:val="18"/>
              </w:rPr>
              <w:t>75/2014</w:t>
            </w:r>
          </w:p>
        </w:tc>
      </w:tr>
      <w:tr w:rsidR="006E2E57" w:rsidRPr="00556CEB" w:rsidTr="006E2E57">
        <w:trPr>
          <w:trHeight w:val="271"/>
        </w:trPr>
        <w:tc>
          <w:tcPr>
            <w:tcW w:w="1668" w:type="dxa"/>
            <w:shd w:val="clear" w:color="auto" w:fill="auto"/>
          </w:tcPr>
          <w:p w:rsidR="006E2E57" w:rsidRPr="00556CEB" w:rsidRDefault="006E2E57" w:rsidP="006E2E57">
            <w:pPr>
              <w:tabs>
                <w:tab w:val="left" w:pos="3402"/>
              </w:tabs>
              <w:spacing w:after="60" w:line="240" w:lineRule="auto"/>
              <w:rPr>
                <w:b/>
                <w:sz w:val="18"/>
                <w:szCs w:val="18"/>
              </w:rPr>
            </w:pPr>
            <w:r w:rsidRPr="00556CEB">
              <w:rPr>
                <w:b/>
                <w:sz w:val="18"/>
                <w:szCs w:val="18"/>
              </w:rPr>
              <w:t xml:space="preserve">Forfatter(e): </w:t>
            </w:r>
          </w:p>
        </w:tc>
        <w:tc>
          <w:tcPr>
            <w:tcW w:w="7654" w:type="dxa"/>
            <w:shd w:val="clear" w:color="auto" w:fill="auto"/>
          </w:tcPr>
          <w:p w:rsidR="006E2E57" w:rsidRPr="00556CEB" w:rsidRDefault="00D81993" w:rsidP="006E2E57">
            <w:pPr>
              <w:spacing w:after="60" w:line="240" w:lineRule="auto"/>
              <w:rPr>
                <w:sz w:val="18"/>
                <w:szCs w:val="18"/>
              </w:rPr>
            </w:pPr>
            <w:r>
              <w:rPr>
                <w:sz w:val="18"/>
                <w:szCs w:val="18"/>
              </w:rPr>
              <w:t>Knut Vareide og Marit Nygaard</w:t>
            </w:r>
          </w:p>
        </w:tc>
      </w:tr>
      <w:tr w:rsidR="006E2E57" w:rsidRPr="00556CEB" w:rsidTr="006E2E57">
        <w:trPr>
          <w:trHeight w:val="271"/>
        </w:trPr>
        <w:tc>
          <w:tcPr>
            <w:tcW w:w="1668" w:type="dxa"/>
            <w:shd w:val="clear" w:color="auto" w:fill="auto"/>
          </w:tcPr>
          <w:p w:rsidR="006E2E57" w:rsidRPr="00556CEB" w:rsidRDefault="006E2E57" w:rsidP="006E2E57">
            <w:pPr>
              <w:tabs>
                <w:tab w:val="left" w:pos="3402"/>
              </w:tabs>
              <w:spacing w:after="60" w:line="240" w:lineRule="auto"/>
              <w:rPr>
                <w:sz w:val="18"/>
                <w:szCs w:val="18"/>
              </w:rPr>
            </w:pPr>
            <w:r>
              <w:rPr>
                <w:b/>
                <w:sz w:val="18"/>
                <w:szCs w:val="18"/>
              </w:rPr>
              <w:t>Dato</w:t>
            </w:r>
            <w:r w:rsidRPr="00556CEB">
              <w:rPr>
                <w:b/>
                <w:sz w:val="18"/>
                <w:szCs w:val="18"/>
              </w:rPr>
              <w:t>:</w:t>
            </w:r>
            <w:r w:rsidRPr="00556CEB">
              <w:rPr>
                <w:sz w:val="18"/>
                <w:szCs w:val="18"/>
              </w:rPr>
              <w:t xml:space="preserve"> </w:t>
            </w:r>
          </w:p>
        </w:tc>
        <w:tc>
          <w:tcPr>
            <w:tcW w:w="7654" w:type="dxa"/>
            <w:shd w:val="clear" w:color="auto" w:fill="auto"/>
          </w:tcPr>
          <w:p w:rsidR="006E2E57" w:rsidRPr="00556CEB" w:rsidRDefault="00BA4920" w:rsidP="006E2E57">
            <w:pPr>
              <w:spacing w:after="60" w:line="240" w:lineRule="auto"/>
              <w:rPr>
                <w:sz w:val="18"/>
                <w:szCs w:val="18"/>
              </w:rPr>
            </w:pPr>
            <w:r>
              <w:rPr>
                <w:sz w:val="18"/>
                <w:szCs w:val="18"/>
              </w:rPr>
              <w:t>16. januar 2015</w:t>
            </w:r>
          </w:p>
        </w:tc>
      </w:tr>
      <w:tr w:rsidR="006E2E57" w:rsidRPr="00556CEB" w:rsidTr="006E2E57">
        <w:trPr>
          <w:trHeight w:val="271"/>
        </w:trPr>
        <w:tc>
          <w:tcPr>
            <w:tcW w:w="1668" w:type="dxa"/>
            <w:shd w:val="clear" w:color="auto" w:fill="auto"/>
          </w:tcPr>
          <w:p w:rsidR="006E2E57" w:rsidRPr="00556CEB" w:rsidRDefault="006E2E57" w:rsidP="006E2E57">
            <w:pPr>
              <w:spacing w:after="60" w:line="240" w:lineRule="auto"/>
              <w:rPr>
                <w:sz w:val="18"/>
                <w:szCs w:val="18"/>
              </w:rPr>
            </w:pPr>
            <w:r w:rsidRPr="00556CEB">
              <w:rPr>
                <w:b/>
                <w:sz w:val="18"/>
                <w:szCs w:val="18"/>
              </w:rPr>
              <w:t>ISBN:</w:t>
            </w:r>
            <w:r w:rsidRPr="00556CEB">
              <w:rPr>
                <w:sz w:val="18"/>
                <w:szCs w:val="18"/>
              </w:rPr>
              <w:t xml:space="preserve"> </w:t>
            </w:r>
          </w:p>
        </w:tc>
        <w:tc>
          <w:tcPr>
            <w:tcW w:w="7654" w:type="dxa"/>
            <w:shd w:val="clear" w:color="auto" w:fill="auto"/>
          </w:tcPr>
          <w:p w:rsidR="006E2E57" w:rsidRPr="00556CEB" w:rsidRDefault="00BA4920" w:rsidP="006E2E57">
            <w:pPr>
              <w:spacing w:after="60" w:line="240" w:lineRule="auto"/>
              <w:rPr>
                <w:sz w:val="18"/>
                <w:szCs w:val="18"/>
              </w:rPr>
            </w:pPr>
            <w:r w:rsidRPr="00BA4920">
              <w:rPr>
                <w:sz w:val="18"/>
                <w:szCs w:val="18"/>
              </w:rPr>
              <w:t>978-82-7401-771-9</w:t>
            </w:r>
          </w:p>
        </w:tc>
      </w:tr>
      <w:tr w:rsidR="006E2E57" w:rsidRPr="00556CEB" w:rsidTr="006E2E57">
        <w:trPr>
          <w:trHeight w:val="271"/>
        </w:trPr>
        <w:tc>
          <w:tcPr>
            <w:tcW w:w="1668" w:type="dxa"/>
            <w:shd w:val="clear" w:color="auto" w:fill="auto"/>
          </w:tcPr>
          <w:p w:rsidR="006E2E57" w:rsidRPr="00556CEB" w:rsidRDefault="006E2E57" w:rsidP="006E2E57">
            <w:pPr>
              <w:spacing w:after="60" w:line="240" w:lineRule="auto"/>
              <w:rPr>
                <w:b/>
                <w:sz w:val="18"/>
                <w:szCs w:val="18"/>
              </w:rPr>
            </w:pPr>
            <w:r w:rsidRPr="00556CEB">
              <w:rPr>
                <w:b/>
                <w:sz w:val="18"/>
                <w:szCs w:val="18"/>
              </w:rPr>
              <w:t>ISSN:</w:t>
            </w:r>
          </w:p>
        </w:tc>
        <w:tc>
          <w:tcPr>
            <w:tcW w:w="7654" w:type="dxa"/>
            <w:shd w:val="clear" w:color="auto" w:fill="auto"/>
          </w:tcPr>
          <w:p w:rsidR="006E2E57" w:rsidRPr="00556CEB" w:rsidRDefault="006E2E57" w:rsidP="006E2E57">
            <w:pPr>
              <w:spacing w:after="60" w:line="240" w:lineRule="auto"/>
              <w:rPr>
                <w:sz w:val="18"/>
                <w:szCs w:val="18"/>
              </w:rPr>
            </w:pPr>
            <w:r w:rsidRPr="006E2E57">
              <w:rPr>
                <w:sz w:val="18"/>
                <w:szCs w:val="18"/>
              </w:rPr>
              <w:t>1891-053X</w:t>
            </w:r>
          </w:p>
        </w:tc>
      </w:tr>
      <w:tr w:rsidR="006E2E57" w:rsidRPr="00556CEB" w:rsidTr="006E2E57">
        <w:trPr>
          <w:trHeight w:val="271"/>
        </w:trPr>
        <w:tc>
          <w:tcPr>
            <w:tcW w:w="1668" w:type="dxa"/>
            <w:shd w:val="clear" w:color="auto" w:fill="auto"/>
          </w:tcPr>
          <w:p w:rsidR="006E2E57" w:rsidRPr="00556CEB" w:rsidRDefault="006E2E57" w:rsidP="006E2E57">
            <w:pPr>
              <w:spacing w:after="60" w:line="240" w:lineRule="auto"/>
              <w:rPr>
                <w:b/>
                <w:sz w:val="18"/>
                <w:szCs w:val="18"/>
              </w:rPr>
            </w:pPr>
            <w:r w:rsidRPr="00556CEB">
              <w:rPr>
                <w:b/>
                <w:sz w:val="18"/>
                <w:szCs w:val="18"/>
              </w:rPr>
              <w:t>Pris:</w:t>
            </w:r>
            <w:r w:rsidRPr="00556CEB">
              <w:rPr>
                <w:sz w:val="18"/>
                <w:szCs w:val="18"/>
              </w:rPr>
              <w:t xml:space="preserve"> </w:t>
            </w:r>
          </w:p>
        </w:tc>
        <w:tc>
          <w:tcPr>
            <w:tcW w:w="7654" w:type="dxa"/>
            <w:shd w:val="clear" w:color="auto" w:fill="auto"/>
          </w:tcPr>
          <w:p w:rsidR="006E2E57" w:rsidRPr="00556CEB" w:rsidRDefault="00BA4920" w:rsidP="006E2E57">
            <w:pPr>
              <w:spacing w:after="60" w:line="240" w:lineRule="auto"/>
              <w:rPr>
                <w:sz w:val="18"/>
                <w:szCs w:val="18"/>
              </w:rPr>
            </w:pPr>
            <w:r>
              <w:rPr>
                <w:sz w:val="18"/>
                <w:szCs w:val="18"/>
              </w:rPr>
              <w:t>170,-</w:t>
            </w:r>
            <w:r w:rsidR="006E2E57" w:rsidRPr="006E2E57">
              <w:rPr>
                <w:sz w:val="18"/>
                <w:szCs w:val="18"/>
              </w:rPr>
              <w:t xml:space="preserve"> </w:t>
            </w:r>
            <w:r w:rsidR="006E2E57" w:rsidRPr="00556CEB">
              <w:rPr>
                <w:sz w:val="18"/>
                <w:szCs w:val="18"/>
              </w:rPr>
              <w:t xml:space="preserve">(Kan lastes ned </w:t>
            </w:r>
            <w:r w:rsidR="006E2E57">
              <w:rPr>
                <w:sz w:val="18"/>
                <w:szCs w:val="18"/>
              </w:rPr>
              <w:t xml:space="preserve">gratis </w:t>
            </w:r>
            <w:r w:rsidR="006E2E57" w:rsidRPr="00556CEB">
              <w:rPr>
                <w:sz w:val="18"/>
                <w:szCs w:val="18"/>
              </w:rPr>
              <w:t xml:space="preserve">fra </w:t>
            </w:r>
            <w:proofErr w:type="spellStart"/>
            <w:r w:rsidR="006E2E57">
              <w:rPr>
                <w:sz w:val="18"/>
                <w:szCs w:val="18"/>
              </w:rPr>
              <w:t>www.</w:t>
            </w:r>
            <w:r w:rsidR="006E2E57" w:rsidRPr="00556CEB">
              <w:rPr>
                <w:sz w:val="18"/>
                <w:szCs w:val="18"/>
              </w:rPr>
              <w:t>telemarksforsking.no</w:t>
            </w:r>
            <w:proofErr w:type="spellEnd"/>
            <w:r w:rsidR="006E2E57" w:rsidRPr="00556CEB">
              <w:rPr>
                <w:sz w:val="18"/>
                <w:szCs w:val="18"/>
              </w:rPr>
              <w:t>)</w:t>
            </w:r>
          </w:p>
        </w:tc>
      </w:tr>
      <w:tr w:rsidR="006E2E57" w:rsidRPr="006E2E57" w:rsidTr="006E2E57">
        <w:trPr>
          <w:trHeight w:val="271"/>
        </w:trPr>
        <w:tc>
          <w:tcPr>
            <w:tcW w:w="1668" w:type="dxa"/>
            <w:shd w:val="clear" w:color="auto" w:fill="auto"/>
          </w:tcPr>
          <w:p w:rsidR="006E2E57" w:rsidRPr="006E2E57" w:rsidRDefault="006E2E57" w:rsidP="006E2E57">
            <w:pPr>
              <w:spacing w:after="60" w:line="240" w:lineRule="auto"/>
              <w:rPr>
                <w:b/>
                <w:sz w:val="18"/>
                <w:szCs w:val="18"/>
              </w:rPr>
            </w:pPr>
            <w:r w:rsidRPr="006E2E57">
              <w:rPr>
                <w:b/>
                <w:sz w:val="18"/>
                <w:szCs w:val="18"/>
              </w:rPr>
              <w:t>Framsidefoto:</w:t>
            </w:r>
          </w:p>
        </w:tc>
        <w:tc>
          <w:tcPr>
            <w:tcW w:w="7654" w:type="dxa"/>
            <w:shd w:val="clear" w:color="auto" w:fill="auto"/>
          </w:tcPr>
          <w:p w:rsidR="006E2E57" w:rsidRPr="006E2E57" w:rsidRDefault="00BA4920" w:rsidP="006E2E57">
            <w:pPr>
              <w:spacing w:after="60" w:line="240" w:lineRule="auto"/>
              <w:rPr>
                <w:sz w:val="18"/>
                <w:szCs w:val="18"/>
              </w:rPr>
            </w:pPr>
            <w:r>
              <w:rPr>
                <w:sz w:val="18"/>
                <w:szCs w:val="18"/>
              </w:rPr>
              <w:t xml:space="preserve">Illustrasjon Nygaard/Vareide </w:t>
            </w:r>
          </w:p>
        </w:tc>
      </w:tr>
      <w:tr w:rsidR="006E2E57" w:rsidRPr="00556CEB" w:rsidTr="006E2E57">
        <w:trPr>
          <w:trHeight w:val="271"/>
        </w:trPr>
        <w:tc>
          <w:tcPr>
            <w:tcW w:w="1668" w:type="dxa"/>
            <w:shd w:val="clear" w:color="auto" w:fill="auto"/>
          </w:tcPr>
          <w:p w:rsidR="006E2E57" w:rsidRPr="00556CEB" w:rsidRDefault="006E2E57" w:rsidP="006E2E57">
            <w:pPr>
              <w:spacing w:before="60" w:after="60" w:line="240" w:lineRule="auto"/>
              <w:rPr>
                <w:b/>
                <w:sz w:val="18"/>
                <w:szCs w:val="18"/>
              </w:rPr>
            </w:pPr>
            <w:r w:rsidRPr="00556CEB">
              <w:rPr>
                <w:b/>
                <w:sz w:val="18"/>
                <w:szCs w:val="18"/>
              </w:rPr>
              <w:t>Prosjekt:</w:t>
            </w:r>
          </w:p>
        </w:tc>
        <w:tc>
          <w:tcPr>
            <w:tcW w:w="7654" w:type="dxa"/>
            <w:shd w:val="clear" w:color="auto" w:fill="auto"/>
          </w:tcPr>
          <w:p w:rsidR="006E2E57" w:rsidRPr="00556CEB" w:rsidRDefault="00BA4920" w:rsidP="006E2E57">
            <w:pPr>
              <w:spacing w:before="60" w:after="60" w:line="240" w:lineRule="auto"/>
              <w:rPr>
                <w:sz w:val="18"/>
                <w:szCs w:val="18"/>
              </w:rPr>
            </w:pPr>
            <w:r>
              <w:rPr>
                <w:sz w:val="18"/>
                <w:szCs w:val="18"/>
              </w:rPr>
              <w:t>Regionale analyser 2014</w:t>
            </w:r>
          </w:p>
        </w:tc>
      </w:tr>
      <w:tr w:rsidR="006E2E57" w:rsidRPr="00556CEB" w:rsidTr="006E2E57">
        <w:trPr>
          <w:trHeight w:val="271"/>
        </w:trPr>
        <w:tc>
          <w:tcPr>
            <w:tcW w:w="1668" w:type="dxa"/>
            <w:shd w:val="clear" w:color="auto" w:fill="auto"/>
          </w:tcPr>
          <w:p w:rsidR="006E2E57" w:rsidRPr="00556CEB" w:rsidRDefault="006E2E57" w:rsidP="006E2E57">
            <w:pPr>
              <w:spacing w:after="60" w:line="240" w:lineRule="auto"/>
              <w:rPr>
                <w:b/>
                <w:sz w:val="18"/>
                <w:szCs w:val="18"/>
              </w:rPr>
            </w:pPr>
            <w:proofErr w:type="spellStart"/>
            <w:r w:rsidRPr="00556CEB">
              <w:rPr>
                <w:b/>
                <w:sz w:val="18"/>
                <w:szCs w:val="18"/>
              </w:rPr>
              <w:t>Prosjektnr</w:t>
            </w:r>
            <w:proofErr w:type="spellEnd"/>
            <w:r w:rsidRPr="00556CEB">
              <w:rPr>
                <w:b/>
                <w:sz w:val="18"/>
                <w:szCs w:val="18"/>
              </w:rPr>
              <w:t>.:</w:t>
            </w:r>
          </w:p>
        </w:tc>
        <w:tc>
          <w:tcPr>
            <w:tcW w:w="7654" w:type="dxa"/>
            <w:shd w:val="clear" w:color="auto" w:fill="auto"/>
          </w:tcPr>
          <w:p w:rsidR="006E2E57" w:rsidRPr="00556CEB" w:rsidRDefault="00B96F79" w:rsidP="006E2E57">
            <w:pPr>
              <w:spacing w:after="60" w:line="240" w:lineRule="auto"/>
              <w:rPr>
                <w:sz w:val="18"/>
                <w:szCs w:val="18"/>
              </w:rPr>
            </w:pPr>
            <w:r>
              <w:rPr>
                <w:sz w:val="18"/>
                <w:szCs w:val="18"/>
              </w:rPr>
              <w:t>20140170</w:t>
            </w:r>
          </w:p>
        </w:tc>
      </w:tr>
      <w:tr w:rsidR="006E2E57" w:rsidRPr="00556CEB" w:rsidTr="006E2E57">
        <w:trPr>
          <w:trHeight w:val="271"/>
        </w:trPr>
        <w:tc>
          <w:tcPr>
            <w:tcW w:w="1668" w:type="dxa"/>
            <w:shd w:val="clear" w:color="auto" w:fill="auto"/>
          </w:tcPr>
          <w:p w:rsidR="006E2E57" w:rsidRPr="00556CEB" w:rsidRDefault="006E2E57" w:rsidP="006E2E57">
            <w:pPr>
              <w:spacing w:after="60" w:line="240" w:lineRule="auto"/>
              <w:rPr>
                <w:b/>
                <w:sz w:val="18"/>
                <w:szCs w:val="18"/>
              </w:rPr>
            </w:pPr>
            <w:r w:rsidRPr="00556CEB">
              <w:rPr>
                <w:b/>
                <w:sz w:val="18"/>
                <w:szCs w:val="18"/>
              </w:rPr>
              <w:t>Prosjektleder:</w:t>
            </w:r>
          </w:p>
        </w:tc>
        <w:tc>
          <w:tcPr>
            <w:tcW w:w="7654" w:type="dxa"/>
            <w:shd w:val="clear" w:color="auto" w:fill="auto"/>
          </w:tcPr>
          <w:p w:rsidR="006E2E57" w:rsidRPr="00556CEB" w:rsidRDefault="00D81993" w:rsidP="006E2E57">
            <w:pPr>
              <w:spacing w:after="60" w:line="240" w:lineRule="auto"/>
              <w:rPr>
                <w:sz w:val="18"/>
                <w:szCs w:val="18"/>
              </w:rPr>
            </w:pPr>
            <w:r>
              <w:rPr>
                <w:sz w:val="18"/>
                <w:szCs w:val="18"/>
              </w:rPr>
              <w:t>Knut Vareide</w:t>
            </w:r>
          </w:p>
        </w:tc>
      </w:tr>
      <w:tr w:rsidR="006E2E57" w:rsidRPr="00556CEB" w:rsidTr="006E2E57">
        <w:trPr>
          <w:trHeight w:val="271"/>
        </w:trPr>
        <w:tc>
          <w:tcPr>
            <w:tcW w:w="1668" w:type="dxa"/>
            <w:shd w:val="clear" w:color="auto" w:fill="auto"/>
          </w:tcPr>
          <w:p w:rsidR="006E2E57" w:rsidRPr="00556CEB" w:rsidRDefault="006E2E57" w:rsidP="006E2E57">
            <w:pPr>
              <w:spacing w:after="60" w:line="240" w:lineRule="auto"/>
              <w:rPr>
                <w:b/>
                <w:sz w:val="18"/>
                <w:szCs w:val="18"/>
              </w:rPr>
            </w:pPr>
            <w:r w:rsidRPr="00556CEB">
              <w:rPr>
                <w:b/>
                <w:sz w:val="18"/>
                <w:szCs w:val="18"/>
              </w:rPr>
              <w:t>Oppdragsgiver(e):</w:t>
            </w:r>
          </w:p>
        </w:tc>
        <w:tc>
          <w:tcPr>
            <w:tcW w:w="7654" w:type="dxa"/>
            <w:shd w:val="clear" w:color="auto" w:fill="auto"/>
          </w:tcPr>
          <w:p w:rsidR="006E2E57" w:rsidRPr="00556CEB" w:rsidRDefault="00B96F79" w:rsidP="006E2E57">
            <w:pPr>
              <w:spacing w:after="60" w:line="240" w:lineRule="auto"/>
              <w:rPr>
                <w:sz w:val="18"/>
                <w:szCs w:val="18"/>
                <w:lang w:val="nn-NO"/>
              </w:rPr>
            </w:pPr>
            <w:r>
              <w:rPr>
                <w:sz w:val="18"/>
                <w:szCs w:val="18"/>
              </w:rPr>
              <w:t>Kongsvinger kommune</w:t>
            </w:r>
          </w:p>
        </w:tc>
      </w:tr>
    </w:tbl>
    <w:p w:rsidR="006E2E57" w:rsidRPr="00556CEB" w:rsidRDefault="006E2E57" w:rsidP="006E2E57">
      <w:pPr>
        <w:spacing w:after="60" w:line="240" w:lineRule="auto"/>
        <w:rPr>
          <w:sz w:val="18"/>
          <w:szCs w:val="18"/>
        </w:rPr>
      </w:pPr>
    </w:p>
    <w:tbl>
      <w:tblPr>
        <w:tblW w:w="9322" w:type="dxa"/>
        <w:tblLook w:val="01E0"/>
      </w:tblPr>
      <w:tblGrid>
        <w:gridCol w:w="9322"/>
      </w:tblGrid>
      <w:tr w:rsidR="006E2E57" w:rsidRPr="00556CEB" w:rsidTr="006E2E57">
        <w:trPr>
          <w:trHeight w:val="271"/>
        </w:trPr>
        <w:tc>
          <w:tcPr>
            <w:tcW w:w="9322" w:type="dxa"/>
            <w:shd w:val="clear" w:color="auto" w:fill="auto"/>
          </w:tcPr>
          <w:p w:rsidR="006E2E57" w:rsidRPr="00556CEB" w:rsidRDefault="006E2E57" w:rsidP="00B41EF4">
            <w:pPr>
              <w:spacing w:before="60" w:after="60" w:line="240" w:lineRule="auto"/>
              <w:rPr>
                <w:sz w:val="18"/>
                <w:szCs w:val="18"/>
              </w:rPr>
            </w:pPr>
            <w:r w:rsidRPr="00556CEB">
              <w:rPr>
                <w:b/>
                <w:sz w:val="18"/>
                <w:szCs w:val="18"/>
              </w:rPr>
              <w:t>Spørsmål om de</w:t>
            </w:r>
            <w:r w:rsidR="00B41EF4">
              <w:rPr>
                <w:b/>
                <w:sz w:val="18"/>
                <w:szCs w:val="18"/>
              </w:rPr>
              <w:t>tte</w:t>
            </w:r>
            <w:r w:rsidRPr="00556CEB">
              <w:rPr>
                <w:b/>
                <w:sz w:val="18"/>
                <w:szCs w:val="18"/>
              </w:rPr>
              <w:t xml:space="preserve"> </w:t>
            </w:r>
            <w:r w:rsidR="00B41EF4">
              <w:rPr>
                <w:b/>
                <w:sz w:val="18"/>
                <w:szCs w:val="18"/>
              </w:rPr>
              <w:t>notatet</w:t>
            </w:r>
            <w:r w:rsidRPr="00556CEB">
              <w:rPr>
                <w:b/>
                <w:sz w:val="18"/>
                <w:szCs w:val="18"/>
              </w:rPr>
              <w:t xml:space="preserve"> kan rettes til:</w:t>
            </w:r>
          </w:p>
        </w:tc>
      </w:tr>
      <w:tr w:rsidR="006E2E57" w:rsidRPr="00556CEB" w:rsidTr="006E2E57">
        <w:trPr>
          <w:trHeight w:val="271"/>
        </w:trPr>
        <w:tc>
          <w:tcPr>
            <w:tcW w:w="9322" w:type="dxa"/>
            <w:shd w:val="clear" w:color="auto" w:fill="auto"/>
          </w:tcPr>
          <w:p w:rsidR="006E2E57" w:rsidRPr="00556CEB" w:rsidRDefault="006E2E57" w:rsidP="006E2E57">
            <w:pPr>
              <w:spacing w:after="60" w:line="240" w:lineRule="auto"/>
              <w:rPr>
                <w:sz w:val="18"/>
                <w:szCs w:val="18"/>
              </w:rPr>
            </w:pPr>
            <w:r w:rsidRPr="00556CEB">
              <w:rPr>
                <w:sz w:val="18"/>
                <w:szCs w:val="18"/>
              </w:rPr>
              <w:t>Telemarksforsking</w:t>
            </w:r>
          </w:p>
          <w:p w:rsidR="006E2E57" w:rsidRDefault="006E2E57" w:rsidP="006E2E57">
            <w:pPr>
              <w:spacing w:after="60" w:line="240" w:lineRule="auto"/>
              <w:rPr>
                <w:sz w:val="18"/>
                <w:szCs w:val="18"/>
              </w:rPr>
            </w:pPr>
            <w:r w:rsidRPr="00556CEB">
              <w:rPr>
                <w:sz w:val="18"/>
                <w:szCs w:val="18"/>
              </w:rPr>
              <w:t>Postboks 4</w:t>
            </w:r>
          </w:p>
          <w:p w:rsidR="006E2E57" w:rsidRPr="00556CEB" w:rsidRDefault="006E2E57" w:rsidP="006E2E57">
            <w:pPr>
              <w:spacing w:after="60" w:line="240" w:lineRule="auto"/>
              <w:rPr>
                <w:sz w:val="18"/>
                <w:szCs w:val="18"/>
              </w:rPr>
            </w:pPr>
            <w:r w:rsidRPr="00556CEB">
              <w:rPr>
                <w:sz w:val="18"/>
                <w:szCs w:val="18"/>
              </w:rPr>
              <w:t>3833</w:t>
            </w:r>
            <w:r>
              <w:rPr>
                <w:sz w:val="18"/>
                <w:szCs w:val="18"/>
              </w:rPr>
              <w:t xml:space="preserve"> </w:t>
            </w:r>
            <w:r w:rsidRPr="00556CEB">
              <w:rPr>
                <w:sz w:val="18"/>
                <w:szCs w:val="18"/>
              </w:rPr>
              <w:t xml:space="preserve">Bø i Telemark </w:t>
            </w:r>
          </w:p>
          <w:p w:rsidR="006E2E57" w:rsidRPr="00556CEB" w:rsidRDefault="00700064" w:rsidP="006E2E57">
            <w:pPr>
              <w:spacing w:after="60" w:line="240" w:lineRule="auto"/>
              <w:rPr>
                <w:sz w:val="18"/>
                <w:szCs w:val="18"/>
              </w:rPr>
            </w:pPr>
            <w:r>
              <w:rPr>
                <w:sz w:val="18"/>
                <w:szCs w:val="18"/>
              </w:rPr>
              <w:t>Tlf: +47 35 06 15 00</w:t>
            </w:r>
          </w:p>
          <w:p w:rsidR="006E2E57" w:rsidRPr="00556CEB" w:rsidRDefault="006E2E57" w:rsidP="006E2E57">
            <w:pPr>
              <w:spacing w:after="60" w:line="240" w:lineRule="auto"/>
              <w:rPr>
                <w:sz w:val="18"/>
                <w:szCs w:val="18"/>
              </w:rPr>
            </w:pPr>
            <w:proofErr w:type="spellStart"/>
            <w:r w:rsidRPr="00556CEB">
              <w:rPr>
                <w:sz w:val="18"/>
                <w:szCs w:val="18"/>
              </w:rPr>
              <w:t>www.telemarksforsking.no</w:t>
            </w:r>
            <w:proofErr w:type="spellEnd"/>
            <w:r w:rsidRPr="00556CEB">
              <w:rPr>
                <w:sz w:val="18"/>
                <w:szCs w:val="18"/>
              </w:rPr>
              <w:t xml:space="preserve"> </w:t>
            </w:r>
          </w:p>
          <w:p w:rsidR="006E2E57" w:rsidRPr="00556CEB" w:rsidRDefault="006E2E57" w:rsidP="006E2E57">
            <w:pPr>
              <w:spacing w:after="60" w:line="240" w:lineRule="auto"/>
              <w:rPr>
                <w:sz w:val="18"/>
                <w:szCs w:val="18"/>
              </w:rPr>
            </w:pPr>
          </w:p>
        </w:tc>
      </w:tr>
      <w:tr w:rsidR="003565A8" w:rsidRPr="00556CEB" w:rsidTr="003565A8">
        <w:trPr>
          <w:trHeight w:val="271"/>
        </w:trPr>
        <w:tc>
          <w:tcPr>
            <w:tcW w:w="9322" w:type="dxa"/>
            <w:shd w:val="clear" w:color="auto" w:fill="auto"/>
          </w:tcPr>
          <w:p w:rsidR="003565A8" w:rsidRPr="00556CEB" w:rsidRDefault="003565A8" w:rsidP="003565A8">
            <w:pPr>
              <w:spacing w:after="60" w:line="240" w:lineRule="auto"/>
              <w:rPr>
                <w:sz w:val="18"/>
                <w:szCs w:val="18"/>
              </w:rPr>
            </w:pPr>
            <w:r w:rsidRPr="003565A8">
              <w:rPr>
                <w:sz w:val="18"/>
                <w:szCs w:val="18"/>
              </w:rPr>
              <w:t>Resymé:</w:t>
            </w:r>
          </w:p>
        </w:tc>
      </w:tr>
      <w:tr w:rsidR="003565A8" w:rsidRPr="00556CEB" w:rsidTr="003565A8">
        <w:trPr>
          <w:trHeight w:val="271"/>
        </w:trPr>
        <w:tc>
          <w:tcPr>
            <w:tcW w:w="9322" w:type="dxa"/>
            <w:shd w:val="clear" w:color="auto" w:fill="auto"/>
          </w:tcPr>
          <w:p w:rsidR="003565A8" w:rsidRPr="00556CEB" w:rsidRDefault="000A45CA" w:rsidP="00B56E35">
            <w:pPr>
              <w:spacing w:after="60" w:line="240" w:lineRule="auto"/>
              <w:rPr>
                <w:sz w:val="18"/>
                <w:szCs w:val="18"/>
              </w:rPr>
            </w:pPr>
            <w:r>
              <w:rPr>
                <w:sz w:val="18"/>
                <w:szCs w:val="18"/>
              </w:rPr>
              <w:t xml:space="preserve">Utviklingen i Glåmdalen med hensyn til befolknings- og næringsutvikling er beskrevet og analysert med Attraktivitetsmodellen. Det er også kapitler om utdanningsnivå, innovasjon i næringslivet og resultater fra NHOs </w:t>
            </w:r>
            <w:proofErr w:type="spellStart"/>
            <w:r>
              <w:rPr>
                <w:sz w:val="18"/>
                <w:szCs w:val="18"/>
              </w:rPr>
              <w:t>NæringsNM</w:t>
            </w:r>
            <w:proofErr w:type="spellEnd"/>
            <w:r>
              <w:rPr>
                <w:sz w:val="18"/>
                <w:szCs w:val="18"/>
              </w:rPr>
              <w:t>.</w:t>
            </w:r>
            <w:r w:rsidR="003565A8" w:rsidRPr="00556CEB">
              <w:rPr>
                <w:sz w:val="18"/>
                <w:szCs w:val="18"/>
              </w:rPr>
              <w:t xml:space="preserve">  </w:t>
            </w:r>
          </w:p>
        </w:tc>
      </w:tr>
    </w:tbl>
    <w:p w:rsidR="006E2E57" w:rsidRDefault="006E2E57" w:rsidP="006E2E57">
      <w:pPr>
        <w:spacing w:after="60" w:line="240" w:lineRule="auto"/>
        <w:rPr>
          <w:sz w:val="18"/>
          <w:szCs w:val="18"/>
          <w:lang w:val="nn-NO"/>
        </w:rPr>
      </w:pPr>
    </w:p>
    <w:p w:rsidR="00847BE9" w:rsidRPr="00556CEB" w:rsidRDefault="00847BE9" w:rsidP="006E2E57">
      <w:pPr>
        <w:spacing w:after="60" w:line="240" w:lineRule="auto"/>
        <w:rPr>
          <w:sz w:val="18"/>
          <w:szCs w:val="18"/>
          <w:lang w:val="nn-NO"/>
        </w:rPr>
      </w:pPr>
    </w:p>
    <w:tbl>
      <w:tblPr>
        <w:tblW w:w="10065" w:type="dxa"/>
        <w:tblLook w:val="01E0"/>
      </w:tblPr>
      <w:tblGrid>
        <w:gridCol w:w="2093"/>
        <w:gridCol w:w="7972"/>
      </w:tblGrid>
      <w:tr w:rsidR="00125A98" w:rsidRPr="00556CEB" w:rsidTr="00125A98">
        <w:trPr>
          <w:trHeight w:val="271"/>
        </w:trPr>
        <w:tc>
          <w:tcPr>
            <w:tcW w:w="2093" w:type="dxa"/>
          </w:tcPr>
          <w:p w:rsidR="00125A98" w:rsidRDefault="00125A98" w:rsidP="00125A98">
            <w:pPr>
              <w:spacing w:after="60"/>
              <w:rPr>
                <w:b/>
                <w:bCs/>
                <w:sz w:val="18"/>
                <w:szCs w:val="18"/>
              </w:rPr>
            </w:pPr>
            <w:r>
              <w:rPr>
                <w:noProof/>
                <w:lang w:eastAsia="nb-NO"/>
              </w:rPr>
              <w:drawing>
                <wp:inline distT="0" distB="0" distL="0" distR="0">
                  <wp:extent cx="1152940" cy="144117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154144" cy="1442681"/>
                          </a:xfrm>
                          <a:prstGeom prst="rect">
                            <a:avLst/>
                          </a:prstGeom>
                        </pic:spPr>
                      </pic:pic>
                    </a:graphicData>
                  </a:graphic>
                </wp:inline>
              </w:drawing>
            </w:r>
          </w:p>
        </w:tc>
        <w:tc>
          <w:tcPr>
            <w:tcW w:w="7972" w:type="dxa"/>
            <w:shd w:val="clear" w:color="auto" w:fill="auto"/>
            <w:vAlign w:val="center"/>
          </w:tcPr>
          <w:p w:rsidR="00125A98" w:rsidRPr="00556CEB" w:rsidRDefault="00125A98" w:rsidP="00125A98">
            <w:pPr>
              <w:spacing w:after="60"/>
              <w:rPr>
                <w:sz w:val="18"/>
                <w:szCs w:val="18"/>
              </w:rPr>
            </w:pPr>
            <w:r>
              <w:rPr>
                <w:b/>
                <w:bCs/>
                <w:sz w:val="18"/>
                <w:szCs w:val="18"/>
              </w:rPr>
              <w:t xml:space="preserve">Knut Vareide </w:t>
            </w:r>
            <w:r>
              <w:rPr>
                <w:bCs/>
                <w:sz w:val="18"/>
                <w:szCs w:val="18"/>
              </w:rPr>
              <w:t>er utdannet sosialøkonom (</w:t>
            </w:r>
            <w:proofErr w:type="spellStart"/>
            <w:r>
              <w:rPr>
                <w:bCs/>
                <w:sz w:val="18"/>
                <w:szCs w:val="18"/>
              </w:rPr>
              <w:t>cand</w:t>
            </w:r>
            <w:proofErr w:type="spellEnd"/>
            <w:r>
              <w:rPr>
                <w:bCs/>
                <w:sz w:val="18"/>
                <w:szCs w:val="18"/>
              </w:rPr>
              <w:t xml:space="preserve"> </w:t>
            </w:r>
            <w:proofErr w:type="spellStart"/>
            <w:r>
              <w:rPr>
                <w:bCs/>
                <w:sz w:val="18"/>
                <w:szCs w:val="18"/>
              </w:rPr>
              <w:t>oecon</w:t>
            </w:r>
            <w:proofErr w:type="spellEnd"/>
            <w:r>
              <w:rPr>
                <w:bCs/>
                <w:sz w:val="18"/>
                <w:szCs w:val="18"/>
              </w:rPr>
              <w:t>) fra Universitetet i Oslo (1985). Han har arbeidet ved Telemarksforsking siden 1996.</w:t>
            </w:r>
          </w:p>
        </w:tc>
      </w:tr>
      <w:tr w:rsidR="00125A98" w:rsidRPr="0074475B" w:rsidTr="00125A98">
        <w:trPr>
          <w:trHeight w:val="271"/>
        </w:trPr>
        <w:tc>
          <w:tcPr>
            <w:tcW w:w="2093" w:type="dxa"/>
          </w:tcPr>
          <w:p w:rsidR="00125A98" w:rsidRDefault="00125A98" w:rsidP="00125A98">
            <w:pPr>
              <w:spacing w:after="60"/>
              <w:rPr>
                <w:noProof/>
                <w:lang w:eastAsia="nb-NO"/>
              </w:rPr>
            </w:pPr>
            <w:r>
              <w:rPr>
                <w:noProof/>
                <w:lang w:eastAsia="nb-NO"/>
              </w:rPr>
              <w:drawing>
                <wp:inline distT="0" distB="0" distL="0" distR="0">
                  <wp:extent cx="1116643" cy="1454150"/>
                  <wp:effectExtent l="0" t="0" r="7620" b="0"/>
                  <wp:docPr id="5" name="Picture 13" descr="http://www.tmforsk.no/mediafiler/fil.asp?id=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mforsk.no/mediafiler/fil.asp?id=159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643" cy="1454150"/>
                          </a:xfrm>
                          <a:prstGeom prst="rect">
                            <a:avLst/>
                          </a:prstGeom>
                          <a:noFill/>
                          <a:ln>
                            <a:noFill/>
                          </a:ln>
                        </pic:spPr>
                      </pic:pic>
                    </a:graphicData>
                  </a:graphic>
                </wp:inline>
              </w:drawing>
            </w:r>
          </w:p>
        </w:tc>
        <w:tc>
          <w:tcPr>
            <w:tcW w:w="7972" w:type="dxa"/>
            <w:shd w:val="clear" w:color="auto" w:fill="auto"/>
            <w:vAlign w:val="center"/>
          </w:tcPr>
          <w:p w:rsidR="00125A98" w:rsidRPr="00125A98" w:rsidRDefault="00125A98" w:rsidP="00125A98">
            <w:pPr>
              <w:spacing w:after="60"/>
              <w:rPr>
                <w:b/>
                <w:bCs/>
                <w:sz w:val="18"/>
                <w:szCs w:val="18"/>
              </w:rPr>
            </w:pPr>
            <w:r>
              <w:rPr>
                <w:b/>
                <w:bCs/>
                <w:sz w:val="18"/>
                <w:szCs w:val="18"/>
              </w:rPr>
              <w:t xml:space="preserve">Marit Owren Nygaard </w:t>
            </w:r>
            <w:r w:rsidRPr="00125A98">
              <w:rPr>
                <w:b/>
                <w:bCs/>
                <w:sz w:val="18"/>
                <w:szCs w:val="18"/>
              </w:rPr>
              <w:t>er utdannet samfunnsøkonom (</w:t>
            </w:r>
            <w:proofErr w:type="spellStart"/>
            <w:r w:rsidRPr="00125A98">
              <w:rPr>
                <w:b/>
                <w:bCs/>
                <w:sz w:val="18"/>
                <w:szCs w:val="18"/>
              </w:rPr>
              <w:t>M</w:t>
            </w:r>
            <w:proofErr w:type="gramStart"/>
            <w:r w:rsidRPr="00125A98">
              <w:rPr>
                <w:b/>
                <w:bCs/>
                <w:sz w:val="18"/>
                <w:szCs w:val="18"/>
              </w:rPr>
              <w:t>.Sc</w:t>
            </w:r>
            <w:proofErr w:type="spellEnd"/>
            <w:proofErr w:type="gramEnd"/>
            <w:r w:rsidRPr="00125A98">
              <w:rPr>
                <w:b/>
                <w:bCs/>
                <w:sz w:val="18"/>
                <w:szCs w:val="18"/>
              </w:rPr>
              <w:t xml:space="preserve">. </w:t>
            </w:r>
            <w:proofErr w:type="spellStart"/>
            <w:r w:rsidRPr="00125A98">
              <w:rPr>
                <w:b/>
                <w:bCs/>
                <w:sz w:val="18"/>
                <w:szCs w:val="18"/>
              </w:rPr>
              <w:t>Economics</w:t>
            </w:r>
            <w:proofErr w:type="spellEnd"/>
            <w:r w:rsidRPr="00125A98">
              <w:rPr>
                <w:b/>
                <w:bCs/>
                <w:sz w:val="18"/>
                <w:szCs w:val="18"/>
              </w:rPr>
              <w:t xml:space="preserve">) fra Universitetet for miljø- og </w:t>
            </w:r>
            <w:proofErr w:type="spellStart"/>
            <w:r w:rsidRPr="00125A98">
              <w:rPr>
                <w:b/>
                <w:bCs/>
                <w:sz w:val="18"/>
                <w:szCs w:val="18"/>
              </w:rPr>
              <w:t>biovitenskap</w:t>
            </w:r>
            <w:proofErr w:type="spellEnd"/>
            <w:r w:rsidRPr="00125A98">
              <w:rPr>
                <w:b/>
                <w:bCs/>
                <w:sz w:val="18"/>
                <w:szCs w:val="18"/>
              </w:rPr>
              <w:t xml:space="preserve"> i Ås (2012). Hun har jobbet ved Telemarksforsking siden 2013. </w:t>
            </w:r>
          </w:p>
        </w:tc>
      </w:tr>
    </w:tbl>
    <w:p w:rsidR="006E2E57" w:rsidRDefault="006E2E57" w:rsidP="006E2E57"/>
    <w:p w:rsidR="00422484" w:rsidRDefault="00422484" w:rsidP="00D124CB">
      <w:pPr>
        <w:pStyle w:val="Overskrifterinnledningskap"/>
      </w:pPr>
      <w:bookmarkStart w:id="0" w:name="_Toc81034917"/>
      <w:r>
        <w:lastRenderedPageBreak/>
        <w:t>Forord</w:t>
      </w:r>
      <w:bookmarkEnd w:id="0"/>
    </w:p>
    <w:p w:rsidR="000A5804" w:rsidRDefault="000A5804" w:rsidP="000A5804">
      <w:r>
        <w:t xml:space="preserve">Denne rapporten inngår i en serie med analyserapporter for kommuner, regioner og fylker i Norge som er utført av Telemarksforsking i 2014. Det er benyttet en modell for attraktivitet som er utviklet med støtte fra Oslofjordfondet i forbindelse med prosjektet </w:t>
      </w:r>
      <w:r w:rsidRPr="00C35C14">
        <w:rPr>
          <w:i/>
        </w:rPr>
        <w:t>Attraksjonskraft gjennom stedsinnovasjon</w:t>
      </w:r>
      <w:r>
        <w:t>. Modellen er videreutviklet vesentlig i 2014 sammenliknet med tidligere, blant annet gjennom at det er utviklet en scenario</w:t>
      </w:r>
      <w:r>
        <w:softHyphen/>
        <w:t xml:space="preserve">modell som viser hvordan utviklingen kan bli i framtiden i ulike </w:t>
      </w:r>
      <w:proofErr w:type="spellStart"/>
      <w:r>
        <w:t>scenarier</w:t>
      </w:r>
      <w:proofErr w:type="spellEnd"/>
      <w:r>
        <w:t>.</w:t>
      </w:r>
    </w:p>
    <w:p w:rsidR="000A5804" w:rsidRDefault="000A5804" w:rsidP="000A5804">
      <w:r>
        <w:t xml:space="preserve">De regionale analysene er svært verdifulle for forskningen i slike prosjekt, i det at vi får anvendt modeller og empiriske metoder for ulike geografiske områder. Gjennom dette arbeidet får vi også testet relevans og kvalitet gjennom dialog med mange forskjellige og kompetente oppdragsgivere som arbeider profesjonelt med regional utvikling i praksis. </w:t>
      </w:r>
    </w:p>
    <w:p w:rsidR="00BC7716" w:rsidRDefault="00BC7716" w:rsidP="000A5804">
      <w:r>
        <w:t xml:space="preserve">Analysen for </w:t>
      </w:r>
      <w:proofErr w:type="spellStart"/>
      <w:r w:rsidR="000A45CA">
        <w:t>Glåmdal</w:t>
      </w:r>
      <w:proofErr w:type="spellEnd"/>
      <w:r>
        <w:t xml:space="preserve"> vil også ligge til grunn for arbeidet i fase 1 i </w:t>
      </w:r>
      <w:proofErr w:type="spellStart"/>
      <w:r>
        <w:t>byregionprogrammet</w:t>
      </w:r>
      <w:proofErr w:type="spellEnd"/>
      <w:r>
        <w:t xml:space="preserve">. </w:t>
      </w:r>
      <w:proofErr w:type="spellStart"/>
      <w:r w:rsidR="000A45CA">
        <w:t>Glåmdal</w:t>
      </w:r>
      <w:proofErr w:type="spellEnd"/>
      <w:r>
        <w:t xml:space="preserve"> er med på dette programmet, og vil bruke rapporten strategisk for å defineres mål og strategier for fase 2 i </w:t>
      </w:r>
      <w:proofErr w:type="spellStart"/>
      <w:r>
        <w:t>byregionprogrammet</w:t>
      </w:r>
      <w:proofErr w:type="spellEnd"/>
      <w:r>
        <w:t>.</w:t>
      </w:r>
    </w:p>
    <w:p w:rsidR="000A5804" w:rsidRDefault="000A5804" w:rsidP="000A5804">
      <w:r>
        <w:t xml:space="preserve">Telemarksforsking har laget slike regionale analyser i en årrekke. Tidligere var analysene i stor grad deskriptive, og nøyde seg stort sett med å beskrive en rekke indikatorer for befolknings- og næringsutvikling. Etter hvert har vi lagt mer vekt på å finne sammenhenger, gjennom å koble de ulike trekkene i en region sammen i stadig mer helhetlige modeller. De fleste oppdragsgiverne etterspør slike rapporter fordi de skal brukes i en strategisk sammenheng. Da er det ikke tilstrekkelig kun å beskrive ulike utviklingstrekk hver for seg. For at utviklingen på et sted skal kunne påvirkes gjennom bevisste strategier, er det nødvendig å forstå sammenhengene og avdekke årsaker og drivkrefter til den faktiske utviklingen. Først da blir analysene virkelig nyttige i det strategiske arbeidet. Med den nye scenariomodellen blir den strategiske relevansen enda sterkere, fordi vi har et redskap som kan kalibrere målene i den regionale utviklingen for hver enkel kommune, region eller fylke. Vi kan da også vise hvordan de strukturelle forholdene sannsynligvis vil påvirke framtidig utvikling, og hva som skal til for at et sted kan realisere sine målsettinger. </w:t>
      </w:r>
    </w:p>
    <w:p w:rsidR="00422484" w:rsidRDefault="00422484" w:rsidP="000331D3"/>
    <w:p w:rsidR="00422484" w:rsidRDefault="005979B4" w:rsidP="000331D3">
      <w:r>
        <w:t xml:space="preserve">Bø, </w:t>
      </w:r>
      <w:r w:rsidR="000A45CA">
        <w:t>16. januar 2015</w:t>
      </w:r>
    </w:p>
    <w:p w:rsidR="00422484" w:rsidRPr="00F6242F" w:rsidRDefault="00422484" w:rsidP="000331D3"/>
    <w:p w:rsidR="00422484" w:rsidRPr="00F6242F" w:rsidRDefault="000A5804" w:rsidP="000331D3">
      <w:r>
        <w:t>Knut Vareide</w:t>
      </w:r>
    </w:p>
    <w:p w:rsidR="006E2E57" w:rsidRDefault="005979B4" w:rsidP="000A5804">
      <w:pPr>
        <w:sectPr w:rsidR="006E2E57" w:rsidSect="00687F25">
          <w:headerReference w:type="default" r:id="rId13"/>
          <w:footerReference w:type="even" r:id="rId14"/>
          <w:footerReference w:type="default" r:id="rId15"/>
          <w:pgSz w:w="11907" w:h="16840" w:code="9"/>
          <w:pgMar w:top="1440" w:right="1080" w:bottom="1440" w:left="1080" w:header="709" w:footer="709" w:gutter="0"/>
          <w:cols w:space="708"/>
          <w:titlePg/>
          <w:docGrid w:linePitch="360"/>
        </w:sectPr>
      </w:pPr>
      <w:r>
        <w:t>Prosjektleder</w:t>
      </w:r>
    </w:p>
    <w:p w:rsidR="00422484" w:rsidRDefault="00422484" w:rsidP="007E54FE">
      <w:pPr>
        <w:pStyle w:val="Overskrifterinnledningskap"/>
      </w:pPr>
      <w:bookmarkStart w:id="1" w:name="_Toc81034918"/>
      <w:r>
        <w:lastRenderedPageBreak/>
        <w:t>Innhol</w:t>
      </w:r>
      <w:bookmarkEnd w:id="1"/>
      <w:r>
        <w:t>d</w:t>
      </w:r>
    </w:p>
    <w:p w:rsidR="0000196B" w:rsidRDefault="004B3D9E">
      <w:pPr>
        <w:pStyle w:val="INNH1"/>
        <w:rPr>
          <w:rFonts w:asciiTheme="minorHAnsi" w:eastAsiaTheme="minorEastAsia" w:hAnsiTheme="minorHAnsi" w:cstheme="minorBidi"/>
          <w:b w:val="0"/>
          <w:noProof/>
          <w:sz w:val="22"/>
          <w:lang w:eastAsia="nb-NO"/>
        </w:rPr>
      </w:pPr>
      <w:r w:rsidRPr="004B3D9E">
        <w:rPr>
          <w:b w:val="0"/>
          <w:szCs w:val="24"/>
        </w:rPr>
        <w:fldChar w:fldCharType="begin"/>
      </w:r>
      <w:r w:rsidR="00125A98">
        <w:rPr>
          <w:b w:val="0"/>
          <w:szCs w:val="24"/>
        </w:rPr>
        <w:instrText xml:space="preserve"> TOC \o "1-1" \h \z \u </w:instrText>
      </w:r>
      <w:r w:rsidRPr="004B3D9E">
        <w:rPr>
          <w:b w:val="0"/>
          <w:szCs w:val="24"/>
        </w:rPr>
        <w:fldChar w:fldCharType="separate"/>
      </w:r>
      <w:hyperlink w:anchor="_Toc409451082" w:history="1">
        <w:r w:rsidR="0000196B" w:rsidRPr="00E5133D">
          <w:rPr>
            <w:rStyle w:val="Hyperkobling"/>
            <w:noProof/>
          </w:rPr>
          <w:t>Sammendrag</w:t>
        </w:r>
        <w:r w:rsidR="0000196B">
          <w:rPr>
            <w:noProof/>
            <w:webHidden/>
          </w:rPr>
          <w:tab/>
        </w:r>
        <w:r>
          <w:rPr>
            <w:noProof/>
            <w:webHidden/>
          </w:rPr>
          <w:fldChar w:fldCharType="begin"/>
        </w:r>
        <w:r w:rsidR="0000196B">
          <w:rPr>
            <w:noProof/>
            <w:webHidden/>
          </w:rPr>
          <w:instrText xml:space="preserve"> PAGEREF _Toc409451082 \h </w:instrText>
        </w:r>
        <w:r>
          <w:rPr>
            <w:noProof/>
            <w:webHidden/>
          </w:rPr>
        </w:r>
        <w:r>
          <w:rPr>
            <w:noProof/>
            <w:webHidden/>
          </w:rPr>
          <w:fldChar w:fldCharType="separate"/>
        </w:r>
        <w:r w:rsidR="0000196B">
          <w:rPr>
            <w:noProof/>
            <w:webHidden/>
          </w:rPr>
          <w:t>5</w:t>
        </w:r>
        <w:r>
          <w:rPr>
            <w:noProof/>
            <w:webHidden/>
          </w:rPr>
          <w:fldChar w:fldCharType="end"/>
        </w:r>
      </w:hyperlink>
    </w:p>
    <w:p w:rsidR="0000196B" w:rsidRDefault="004B3D9E">
      <w:pPr>
        <w:pStyle w:val="INNH1"/>
        <w:rPr>
          <w:rFonts w:asciiTheme="minorHAnsi" w:eastAsiaTheme="minorEastAsia" w:hAnsiTheme="minorHAnsi" w:cstheme="minorBidi"/>
          <w:b w:val="0"/>
          <w:noProof/>
          <w:sz w:val="22"/>
          <w:lang w:eastAsia="nb-NO"/>
        </w:rPr>
      </w:pPr>
      <w:hyperlink w:anchor="_Toc409451083" w:history="1">
        <w:r w:rsidR="0000196B" w:rsidRPr="00E5133D">
          <w:rPr>
            <w:rStyle w:val="Hyperkobling"/>
            <w:noProof/>
          </w:rPr>
          <w:t>1.</w:t>
        </w:r>
        <w:r w:rsidR="0000196B">
          <w:rPr>
            <w:rFonts w:asciiTheme="minorHAnsi" w:eastAsiaTheme="minorEastAsia" w:hAnsiTheme="minorHAnsi" w:cstheme="minorBidi"/>
            <w:b w:val="0"/>
            <w:noProof/>
            <w:sz w:val="22"/>
            <w:lang w:eastAsia="nb-NO"/>
          </w:rPr>
          <w:tab/>
        </w:r>
        <w:r w:rsidR="0000196B" w:rsidRPr="00E5133D">
          <w:rPr>
            <w:rStyle w:val="Hyperkobling"/>
            <w:noProof/>
          </w:rPr>
          <w:t>Befolkning</w:t>
        </w:r>
        <w:r w:rsidR="0000196B">
          <w:rPr>
            <w:noProof/>
            <w:webHidden/>
          </w:rPr>
          <w:tab/>
        </w:r>
        <w:r>
          <w:rPr>
            <w:noProof/>
            <w:webHidden/>
          </w:rPr>
          <w:fldChar w:fldCharType="begin"/>
        </w:r>
        <w:r w:rsidR="0000196B">
          <w:rPr>
            <w:noProof/>
            <w:webHidden/>
          </w:rPr>
          <w:instrText xml:space="preserve"> PAGEREF _Toc409451083 \h </w:instrText>
        </w:r>
        <w:r>
          <w:rPr>
            <w:noProof/>
            <w:webHidden/>
          </w:rPr>
        </w:r>
        <w:r>
          <w:rPr>
            <w:noProof/>
            <w:webHidden/>
          </w:rPr>
          <w:fldChar w:fldCharType="separate"/>
        </w:r>
        <w:r w:rsidR="0000196B">
          <w:rPr>
            <w:noProof/>
            <w:webHidden/>
          </w:rPr>
          <w:t>8</w:t>
        </w:r>
        <w:r>
          <w:rPr>
            <w:noProof/>
            <w:webHidden/>
          </w:rPr>
          <w:fldChar w:fldCharType="end"/>
        </w:r>
      </w:hyperlink>
    </w:p>
    <w:p w:rsidR="0000196B" w:rsidRDefault="004B3D9E">
      <w:pPr>
        <w:pStyle w:val="INNH1"/>
        <w:rPr>
          <w:rFonts w:asciiTheme="minorHAnsi" w:eastAsiaTheme="minorEastAsia" w:hAnsiTheme="minorHAnsi" w:cstheme="minorBidi"/>
          <w:b w:val="0"/>
          <w:noProof/>
          <w:sz w:val="22"/>
          <w:lang w:eastAsia="nb-NO"/>
        </w:rPr>
      </w:pPr>
      <w:hyperlink w:anchor="_Toc409451084" w:history="1">
        <w:r w:rsidR="0000196B" w:rsidRPr="00E5133D">
          <w:rPr>
            <w:rStyle w:val="Hyperkobling"/>
            <w:noProof/>
          </w:rPr>
          <w:t>2.</w:t>
        </w:r>
        <w:r w:rsidR="0000196B">
          <w:rPr>
            <w:rFonts w:asciiTheme="minorHAnsi" w:eastAsiaTheme="minorEastAsia" w:hAnsiTheme="minorHAnsi" w:cstheme="minorBidi"/>
            <w:b w:val="0"/>
            <w:noProof/>
            <w:sz w:val="22"/>
            <w:lang w:eastAsia="nb-NO"/>
          </w:rPr>
          <w:tab/>
        </w:r>
        <w:r w:rsidR="0000196B" w:rsidRPr="00E5133D">
          <w:rPr>
            <w:rStyle w:val="Hyperkobling"/>
            <w:noProof/>
          </w:rPr>
          <w:t>Arbeidsplasser</w:t>
        </w:r>
        <w:r w:rsidR="0000196B">
          <w:rPr>
            <w:noProof/>
            <w:webHidden/>
          </w:rPr>
          <w:tab/>
        </w:r>
        <w:r>
          <w:rPr>
            <w:noProof/>
            <w:webHidden/>
          </w:rPr>
          <w:fldChar w:fldCharType="begin"/>
        </w:r>
        <w:r w:rsidR="0000196B">
          <w:rPr>
            <w:noProof/>
            <w:webHidden/>
          </w:rPr>
          <w:instrText xml:space="preserve"> PAGEREF _Toc409451084 \h </w:instrText>
        </w:r>
        <w:r>
          <w:rPr>
            <w:noProof/>
            <w:webHidden/>
          </w:rPr>
        </w:r>
        <w:r>
          <w:rPr>
            <w:noProof/>
            <w:webHidden/>
          </w:rPr>
          <w:fldChar w:fldCharType="separate"/>
        </w:r>
        <w:r w:rsidR="0000196B">
          <w:rPr>
            <w:noProof/>
            <w:webHidden/>
          </w:rPr>
          <w:t>12</w:t>
        </w:r>
        <w:r>
          <w:rPr>
            <w:noProof/>
            <w:webHidden/>
          </w:rPr>
          <w:fldChar w:fldCharType="end"/>
        </w:r>
      </w:hyperlink>
    </w:p>
    <w:p w:rsidR="0000196B" w:rsidRDefault="004B3D9E">
      <w:pPr>
        <w:pStyle w:val="INNH1"/>
        <w:rPr>
          <w:rFonts w:asciiTheme="minorHAnsi" w:eastAsiaTheme="minorEastAsia" w:hAnsiTheme="minorHAnsi" w:cstheme="minorBidi"/>
          <w:b w:val="0"/>
          <w:noProof/>
          <w:sz w:val="22"/>
          <w:lang w:eastAsia="nb-NO"/>
        </w:rPr>
      </w:pPr>
      <w:hyperlink w:anchor="_Toc409451085" w:history="1">
        <w:r w:rsidR="0000196B" w:rsidRPr="00E5133D">
          <w:rPr>
            <w:rStyle w:val="Hyperkobling"/>
            <w:noProof/>
          </w:rPr>
          <w:t>3.</w:t>
        </w:r>
        <w:r w:rsidR="0000196B">
          <w:rPr>
            <w:rFonts w:asciiTheme="minorHAnsi" w:eastAsiaTheme="minorEastAsia" w:hAnsiTheme="minorHAnsi" w:cstheme="minorBidi"/>
            <w:b w:val="0"/>
            <w:noProof/>
            <w:sz w:val="22"/>
            <w:lang w:eastAsia="nb-NO"/>
          </w:rPr>
          <w:tab/>
        </w:r>
        <w:r w:rsidR="0000196B" w:rsidRPr="00E5133D">
          <w:rPr>
            <w:rStyle w:val="Hyperkobling"/>
            <w:noProof/>
          </w:rPr>
          <w:t>Pendling og arbeidsmarkedsintegrasjon</w:t>
        </w:r>
        <w:r w:rsidR="0000196B">
          <w:rPr>
            <w:noProof/>
            <w:webHidden/>
          </w:rPr>
          <w:tab/>
        </w:r>
        <w:r>
          <w:rPr>
            <w:noProof/>
            <w:webHidden/>
          </w:rPr>
          <w:fldChar w:fldCharType="begin"/>
        </w:r>
        <w:r w:rsidR="0000196B">
          <w:rPr>
            <w:noProof/>
            <w:webHidden/>
          </w:rPr>
          <w:instrText xml:space="preserve"> PAGEREF _Toc409451085 \h </w:instrText>
        </w:r>
        <w:r>
          <w:rPr>
            <w:noProof/>
            <w:webHidden/>
          </w:rPr>
        </w:r>
        <w:r>
          <w:rPr>
            <w:noProof/>
            <w:webHidden/>
          </w:rPr>
          <w:fldChar w:fldCharType="separate"/>
        </w:r>
        <w:r w:rsidR="0000196B">
          <w:rPr>
            <w:noProof/>
            <w:webHidden/>
          </w:rPr>
          <w:t>35</w:t>
        </w:r>
        <w:r>
          <w:rPr>
            <w:noProof/>
            <w:webHidden/>
          </w:rPr>
          <w:fldChar w:fldCharType="end"/>
        </w:r>
      </w:hyperlink>
    </w:p>
    <w:p w:rsidR="0000196B" w:rsidRDefault="004B3D9E">
      <w:pPr>
        <w:pStyle w:val="INNH1"/>
        <w:rPr>
          <w:rFonts w:asciiTheme="minorHAnsi" w:eastAsiaTheme="minorEastAsia" w:hAnsiTheme="minorHAnsi" w:cstheme="minorBidi"/>
          <w:b w:val="0"/>
          <w:noProof/>
          <w:sz w:val="22"/>
          <w:lang w:eastAsia="nb-NO"/>
        </w:rPr>
      </w:pPr>
      <w:hyperlink w:anchor="_Toc409451086" w:history="1">
        <w:r w:rsidR="0000196B" w:rsidRPr="00E5133D">
          <w:rPr>
            <w:rStyle w:val="Hyperkobling"/>
            <w:noProof/>
          </w:rPr>
          <w:t>4.</w:t>
        </w:r>
        <w:r w:rsidR="0000196B">
          <w:rPr>
            <w:rFonts w:asciiTheme="minorHAnsi" w:eastAsiaTheme="minorEastAsia" w:hAnsiTheme="minorHAnsi" w:cstheme="minorBidi"/>
            <w:b w:val="0"/>
            <w:noProof/>
            <w:sz w:val="22"/>
            <w:lang w:eastAsia="nb-NO"/>
          </w:rPr>
          <w:tab/>
        </w:r>
        <w:r w:rsidR="0000196B" w:rsidRPr="00E5133D">
          <w:rPr>
            <w:rStyle w:val="Hyperkobling"/>
            <w:noProof/>
          </w:rPr>
          <w:t>Bostedsattraktivitet</w:t>
        </w:r>
        <w:r w:rsidR="0000196B">
          <w:rPr>
            <w:noProof/>
            <w:webHidden/>
          </w:rPr>
          <w:tab/>
        </w:r>
        <w:r>
          <w:rPr>
            <w:noProof/>
            <w:webHidden/>
          </w:rPr>
          <w:fldChar w:fldCharType="begin"/>
        </w:r>
        <w:r w:rsidR="0000196B">
          <w:rPr>
            <w:noProof/>
            <w:webHidden/>
          </w:rPr>
          <w:instrText xml:space="preserve"> PAGEREF _Toc409451086 \h </w:instrText>
        </w:r>
        <w:r>
          <w:rPr>
            <w:noProof/>
            <w:webHidden/>
          </w:rPr>
        </w:r>
        <w:r>
          <w:rPr>
            <w:noProof/>
            <w:webHidden/>
          </w:rPr>
          <w:fldChar w:fldCharType="separate"/>
        </w:r>
        <w:r w:rsidR="0000196B">
          <w:rPr>
            <w:noProof/>
            <w:webHidden/>
          </w:rPr>
          <w:t>39</w:t>
        </w:r>
        <w:r>
          <w:rPr>
            <w:noProof/>
            <w:webHidden/>
          </w:rPr>
          <w:fldChar w:fldCharType="end"/>
        </w:r>
      </w:hyperlink>
    </w:p>
    <w:p w:rsidR="0000196B" w:rsidRDefault="004B3D9E">
      <w:pPr>
        <w:pStyle w:val="INNH1"/>
        <w:rPr>
          <w:rFonts w:asciiTheme="minorHAnsi" w:eastAsiaTheme="minorEastAsia" w:hAnsiTheme="minorHAnsi" w:cstheme="minorBidi"/>
          <w:b w:val="0"/>
          <w:noProof/>
          <w:sz w:val="22"/>
          <w:lang w:eastAsia="nb-NO"/>
        </w:rPr>
      </w:pPr>
      <w:hyperlink w:anchor="_Toc409451087" w:history="1">
        <w:r w:rsidR="0000196B" w:rsidRPr="00E5133D">
          <w:rPr>
            <w:rStyle w:val="Hyperkobling"/>
            <w:noProof/>
          </w:rPr>
          <w:t>5.</w:t>
        </w:r>
        <w:r w:rsidR="0000196B">
          <w:rPr>
            <w:rFonts w:asciiTheme="minorHAnsi" w:eastAsiaTheme="minorEastAsia" w:hAnsiTheme="minorHAnsi" w:cstheme="minorBidi"/>
            <w:b w:val="0"/>
            <w:noProof/>
            <w:sz w:val="22"/>
            <w:lang w:eastAsia="nb-NO"/>
          </w:rPr>
          <w:tab/>
        </w:r>
        <w:r w:rsidR="0000196B" w:rsidRPr="00E5133D">
          <w:rPr>
            <w:rStyle w:val="Hyperkobling"/>
            <w:noProof/>
          </w:rPr>
          <w:t>Scenarier for framtidig vekst</w:t>
        </w:r>
        <w:r w:rsidR="0000196B">
          <w:rPr>
            <w:noProof/>
            <w:webHidden/>
          </w:rPr>
          <w:tab/>
        </w:r>
        <w:r>
          <w:rPr>
            <w:noProof/>
            <w:webHidden/>
          </w:rPr>
          <w:fldChar w:fldCharType="begin"/>
        </w:r>
        <w:r w:rsidR="0000196B">
          <w:rPr>
            <w:noProof/>
            <w:webHidden/>
          </w:rPr>
          <w:instrText xml:space="preserve"> PAGEREF _Toc409451087 \h </w:instrText>
        </w:r>
        <w:r>
          <w:rPr>
            <w:noProof/>
            <w:webHidden/>
          </w:rPr>
        </w:r>
        <w:r>
          <w:rPr>
            <w:noProof/>
            <w:webHidden/>
          </w:rPr>
          <w:fldChar w:fldCharType="separate"/>
        </w:r>
        <w:r w:rsidR="0000196B">
          <w:rPr>
            <w:noProof/>
            <w:webHidden/>
          </w:rPr>
          <w:t>45</w:t>
        </w:r>
        <w:r>
          <w:rPr>
            <w:noProof/>
            <w:webHidden/>
          </w:rPr>
          <w:fldChar w:fldCharType="end"/>
        </w:r>
      </w:hyperlink>
    </w:p>
    <w:p w:rsidR="0000196B" w:rsidRDefault="004B3D9E">
      <w:pPr>
        <w:pStyle w:val="INNH1"/>
        <w:rPr>
          <w:rFonts w:asciiTheme="minorHAnsi" w:eastAsiaTheme="minorEastAsia" w:hAnsiTheme="minorHAnsi" w:cstheme="minorBidi"/>
          <w:b w:val="0"/>
          <w:noProof/>
          <w:sz w:val="22"/>
          <w:lang w:eastAsia="nb-NO"/>
        </w:rPr>
      </w:pPr>
      <w:hyperlink w:anchor="_Toc409451088" w:history="1">
        <w:r w:rsidR="0000196B" w:rsidRPr="00E5133D">
          <w:rPr>
            <w:rStyle w:val="Hyperkobling"/>
            <w:noProof/>
          </w:rPr>
          <w:t>6.</w:t>
        </w:r>
        <w:r w:rsidR="0000196B">
          <w:rPr>
            <w:rFonts w:asciiTheme="minorHAnsi" w:eastAsiaTheme="minorEastAsia" w:hAnsiTheme="minorHAnsi" w:cstheme="minorBidi"/>
            <w:b w:val="0"/>
            <w:noProof/>
            <w:sz w:val="22"/>
            <w:lang w:eastAsia="nb-NO"/>
          </w:rPr>
          <w:tab/>
        </w:r>
        <w:r w:rsidR="0000196B" w:rsidRPr="00E5133D">
          <w:rPr>
            <w:rStyle w:val="Hyperkobling"/>
            <w:noProof/>
          </w:rPr>
          <w:t>Utdanning</w:t>
        </w:r>
        <w:r w:rsidR="0000196B">
          <w:rPr>
            <w:noProof/>
            <w:webHidden/>
          </w:rPr>
          <w:tab/>
        </w:r>
        <w:r>
          <w:rPr>
            <w:noProof/>
            <w:webHidden/>
          </w:rPr>
          <w:fldChar w:fldCharType="begin"/>
        </w:r>
        <w:r w:rsidR="0000196B">
          <w:rPr>
            <w:noProof/>
            <w:webHidden/>
          </w:rPr>
          <w:instrText xml:space="preserve"> PAGEREF _Toc409451088 \h </w:instrText>
        </w:r>
        <w:r>
          <w:rPr>
            <w:noProof/>
            <w:webHidden/>
          </w:rPr>
        </w:r>
        <w:r>
          <w:rPr>
            <w:noProof/>
            <w:webHidden/>
          </w:rPr>
          <w:fldChar w:fldCharType="separate"/>
        </w:r>
        <w:r w:rsidR="0000196B">
          <w:rPr>
            <w:noProof/>
            <w:webHidden/>
          </w:rPr>
          <w:t>52</w:t>
        </w:r>
        <w:r>
          <w:rPr>
            <w:noProof/>
            <w:webHidden/>
          </w:rPr>
          <w:fldChar w:fldCharType="end"/>
        </w:r>
      </w:hyperlink>
    </w:p>
    <w:p w:rsidR="0000196B" w:rsidRDefault="004B3D9E">
      <w:pPr>
        <w:pStyle w:val="INNH1"/>
        <w:rPr>
          <w:rFonts w:asciiTheme="minorHAnsi" w:eastAsiaTheme="minorEastAsia" w:hAnsiTheme="minorHAnsi" w:cstheme="minorBidi"/>
          <w:b w:val="0"/>
          <w:noProof/>
          <w:sz w:val="22"/>
          <w:lang w:eastAsia="nb-NO"/>
        </w:rPr>
      </w:pPr>
      <w:hyperlink w:anchor="_Toc409451089" w:history="1">
        <w:r w:rsidR="0000196B" w:rsidRPr="00E5133D">
          <w:rPr>
            <w:rStyle w:val="Hyperkobling"/>
            <w:noProof/>
          </w:rPr>
          <w:t>7.</w:t>
        </w:r>
        <w:r w:rsidR="0000196B">
          <w:rPr>
            <w:rFonts w:asciiTheme="minorHAnsi" w:eastAsiaTheme="minorEastAsia" w:hAnsiTheme="minorHAnsi" w:cstheme="minorBidi"/>
            <w:b w:val="0"/>
            <w:noProof/>
            <w:sz w:val="22"/>
            <w:lang w:eastAsia="nb-NO"/>
          </w:rPr>
          <w:tab/>
        </w:r>
        <w:r w:rsidR="0000196B" w:rsidRPr="00E5133D">
          <w:rPr>
            <w:rStyle w:val="Hyperkobling"/>
            <w:noProof/>
          </w:rPr>
          <w:t>Innovasjon</w:t>
        </w:r>
        <w:r w:rsidR="0000196B">
          <w:rPr>
            <w:noProof/>
            <w:webHidden/>
          </w:rPr>
          <w:tab/>
        </w:r>
        <w:r>
          <w:rPr>
            <w:noProof/>
            <w:webHidden/>
          </w:rPr>
          <w:fldChar w:fldCharType="begin"/>
        </w:r>
        <w:r w:rsidR="0000196B">
          <w:rPr>
            <w:noProof/>
            <w:webHidden/>
          </w:rPr>
          <w:instrText xml:space="preserve"> PAGEREF _Toc409451089 \h </w:instrText>
        </w:r>
        <w:r>
          <w:rPr>
            <w:noProof/>
            <w:webHidden/>
          </w:rPr>
        </w:r>
        <w:r>
          <w:rPr>
            <w:noProof/>
            <w:webHidden/>
          </w:rPr>
          <w:fldChar w:fldCharType="separate"/>
        </w:r>
        <w:r w:rsidR="0000196B">
          <w:rPr>
            <w:noProof/>
            <w:webHidden/>
          </w:rPr>
          <w:t>58</w:t>
        </w:r>
        <w:r>
          <w:rPr>
            <w:noProof/>
            <w:webHidden/>
          </w:rPr>
          <w:fldChar w:fldCharType="end"/>
        </w:r>
      </w:hyperlink>
    </w:p>
    <w:p w:rsidR="0000196B" w:rsidRDefault="004B3D9E">
      <w:pPr>
        <w:pStyle w:val="INNH1"/>
        <w:rPr>
          <w:rFonts w:asciiTheme="minorHAnsi" w:eastAsiaTheme="minorEastAsia" w:hAnsiTheme="minorHAnsi" w:cstheme="minorBidi"/>
          <w:b w:val="0"/>
          <w:noProof/>
          <w:sz w:val="22"/>
          <w:lang w:eastAsia="nb-NO"/>
        </w:rPr>
      </w:pPr>
      <w:hyperlink w:anchor="_Toc409451090" w:history="1">
        <w:r w:rsidR="0000196B" w:rsidRPr="00E5133D">
          <w:rPr>
            <w:rStyle w:val="Hyperkobling"/>
            <w:noProof/>
          </w:rPr>
          <w:t>8.</w:t>
        </w:r>
        <w:r w:rsidR="0000196B">
          <w:rPr>
            <w:rFonts w:asciiTheme="minorHAnsi" w:eastAsiaTheme="minorEastAsia" w:hAnsiTheme="minorHAnsi" w:cstheme="minorBidi"/>
            <w:b w:val="0"/>
            <w:noProof/>
            <w:sz w:val="22"/>
            <w:lang w:eastAsia="nb-NO"/>
          </w:rPr>
          <w:tab/>
        </w:r>
        <w:r w:rsidR="0000196B" w:rsidRPr="00E5133D">
          <w:rPr>
            <w:rStyle w:val="Hyperkobling"/>
            <w:noProof/>
          </w:rPr>
          <w:t>NæringsNM</w:t>
        </w:r>
        <w:r w:rsidR="0000196B">
          <w:rPr>
            <w:noProof/>
            <w:webHidden/>
          </w:rPr>
          <w:tab/>
        </w:r>
        <w:r>
          <w:rPr>
            <w:noProof/>
            <w:webHidden/>
          </w:rPr>
          <w:fldChar w:fldCharType="begin"/>
        </w:r>
        <w:r w:rsidR="0000196B">
          <w:rPr>
            <w:noProof/>
            <w:webHidden/>
          </w:rPr>
          <w:instrText xml:space="preserve"> PAGEREF _Toc409451090 \h </w:instrText>
        </w:r>
        <w:r>
          <w:rPr>
            <w:noProof/>
            <w:webHidden/>
          </w:rPr>
        </w:r>
        <w:r>
          <w:rPr>
            <w:noProof/>
            <w:webHidden/>
          </w:rPr>
          <w:fldChar w:fldCharType="separate"/>
        </w:r>
        <w:r w:rsidR="0000196B">
          <w:rPr>
            <w:noProof/>
            <w:webHidden/>
          </w:rPr>
          <w:t>66</w:t>
        </w:r>
        <w:r>
          <w:rPr>
            <w:noProof/>
            <w:webHidden/>
          </w:rPr>
          <w:fldChar w:fldCharType="end"/>
        </w:r>
      </w:hyperlink>
    </w:p>
    <w:p w:rsidR="00422484" w:rsidRDefault="004B3D9E" w:rsidP="00C91159">
      <w:pPr>
        <w:pStyle w:val="INNH2"/>
        <w:tabs>
          <w:tab w:val="right" w:leader="dot" w:pos="7920"/>
        </w:tabs>
      </w:pPr>
      <w:r>
        <w:rPr>
          <w:b/>
          <w:noProof w:val="0"/>
          <w:szCs w:val="24"/>
        </w:rPr>
        <w:fldChar w:fldCharType="end"/>
      </w:r>
    </w:p>
    <w:p w:rsidR="00DE7085" w:rsidRPr="009273BB" w:rsidRDefault="003A6350" w:rsidP="00DE7085">
      <w:pPr>
        <w:pStyle w:val="Sluttkapittel"/>
      </w:pPr>
      <w:bookmarkStart w:id="2" w:name="_Toc256498972"/>
      <w:bookmarkStart w:id="3" w:name="_Toc261246688"/>
      <w:bookmarkStart w:id="4" w:name="_Toc400090038"/>
      <w:r>
        <w:lastRenderedPageBreak/>
        <w:t xml:space="preserve"> </w:t>
      </w:r>
      <w:bookmarkStart w:id="5" w:name="_Toc409451082"/>
      <w:r w:rsidR="00DE7085" w:rsidRPr="009273BB">
        <w:t>Sammendrag</w:t>
      </w:r>
      <w:bookmarkEnd w:id="2"/>
      <w:bookmarkEnd w:id="3"/>
      <w:bookmarkEnd w:id="4"/>
      <w:bookmarkEnd w:id="5"/>
    </w:p>
    <w:p w:rsidR="008A5E84" w:rsidRDefault="008A5E84" w:rsidP="008A5E84">
      <w:proofErr w:type="spellStart"/>
      <w:r>
        <w:t>Glåmdal</w:t>
      </w:r>
      <w:proofErr w:type="spellEnd"/>
      <w:r>
        <w:t xml:space="preserve"> har færre innbyggere i 2014 enn de hadde i 2000. Det var befolkningsnedgang fram til 2007. Etter det har det blitt litt befolkningsvekst, men veksten har vært ganske svak. På samme tid har befolkningen i Norge økt med over 14 prosent. </w:t>
      </w:r>
      <w:proofErr w:type="spellStart"/>
      <w:r>
        <w:t>Glåmdal</w:t>
      </w:r>
      <w:proofErr w:type="spellEnd"/>
      <w:r>
        <w:t xml:space="preserve"> har spesielt stort fødselsunderskudd, og det er hovedårsaken til den svake befolkningsutviklingen. Det har også vært lavere innvandring til </w:t>
      </w:r>
      <w:proofErr w:type="spellStart"/>
      <w:r>
        <w:t>Glåmdal</w:t>
      </w:r>
      <w:proofErr w:type="spellEnd"/>
      <w:r>
        <w:t xml:space="preserve"> enn i resten av landet. Over tid har </w:t>
      </w:r>
      <w:proofErr w:type="spellStart"/>
      <w:r>
        <w:t>Glåmdal</w:t>
      </w:r>
      <w:proofErr w:type="spellEnd"/>
      <w:r>
        <w:t xml:space="preserve"> omtrent balanse i flyttingen til og fra andre norske regioner.</w:t>
      </w:r>
    </w:p>
    <w:p w:rsidR="008A5E84" w:rsidRDefault="008A5E84" w:rsidP="008A5E84">
      <w:r>
        <w:t xml:space="preserve">Det har også vært nedgang i antall arbeidsplasser i </w:t>
      </w:r>
      <w:proofErr w:type="spellStart"/>
      <w:r>
        <w:t>Glåmdal</w:t>
      </w:r>
      <w:proofErr w:type="spellEnd"/>
      <w:r>
        <w:t xml:space="preserve"> fra 2000 til i dag. Det er spesielt arbeidsplass</w:t>
      </w:r>
      <w:r w:rsidR="00B84567">
        <w:softHyphen/>
      </w:r>
      <w:r>
        <w:t xml:space="preserve">utviklingen i næringslivet som har sviktet. Næringslivet i </w:t>
      </w:r>
      <w:proofErr w:type="spellStart"/>
      <w:r>
        <w:t>Glåmdal</w:t>
      </w:r>
      <w:proofErr w:type="spellEnd"/>
      <w:r>
        <w:t xml:space="preserve"> har hatt en sterk nedgang i antall arbeidsplasser fra 2008. </w:t>
      </w:r>
    </w:p>
    <w:p w:rsidR="0010269B" w:rsidRDefault="0010269B" w:rsidP="0010269B">
      <w:r>
        <w:t>Når vi skal analysere utviklingen i næringslivet deler vi opp næringslivet i tre strategiske næringstyper; basisnæringer, besøksnæringer og regionale næringer. Vi har forsøkt å skille mellom strukturelle årsaksforhold og attraktivitet. De strukturelle betingelsene er forhold som har med lokalisering og bransjestruktur å gjøre, som vanskelig kan påvirkes. Attraktivitet er et mål for om veksten har vært over eller under forventet vekst, der vi har tatt hensyn til de strukturelle betingelsene.</w:t>
      </w:r>
    </w:p>
    <w:p w:rsidR="008A5E84" w:rsidRDefault="008A5E84" w:rsidP="008A5E84">
      <w:r>
        <w:t xml:space="preserve">Basisnæringer er de bedriftene som produserer for et nasjonalt eller internasjonalt marked. Basisnæringene omfatter primærnæringer, industri og de mest konkurranseutsatte tjenestene som forsking, tele, IKT, </w:t>
      </w:r>
      <w:proofErr w:type="spellStart"/>
      <w:r>
        <w:t>engineering</w:t>
      </w:r>
      <w:proofErr w:type="spellEnd"/>
      <w:r>
        <w:t xml:space="preserve"> og liknende. Basisnæringene i </w:t>
      </w:r>
      <w:proofErr w:type="spellStart"/>
      <w:r>
        <w:t>Glåmdal</w:t>
      </w:r>
      <w:proofErr w:type="spellEnd"/>
      <w:r>
        <w:t xml:space="preserve"> har hatt en sterk nedgang i antall arbeidsplasser. Nedgangen siden 2000 tilsvarer 31 prosent av arbeidsplassene. Det er først og fremst industrien og landbruk som har hatt nedgang. Antall arbeidsplasser i industrien i </w:t>
      </w:r>
      <w:proofErr w:type="spellStart"/>
      <w:r>
        <w:t>Glåmdal</w:t>
      </w:r>
      <w:proofErr w:type="spellEnd"/>
      <w:r>
        <w:t xml:space="preserve"> er nesten halvert siden 2000. En del av nedgangen i basisnæringene i </w:t>
      </w:r>
      <w:proofErr w:type="spellStart"/>
      <w:r>
        <w:t>Glåmdal</w:t>
      </w:r>
      <w:proofErr w:type="spellEnd"/>
      <w:r>
        <w:t xml:space="preserve"> skyldes at de har hatt mange arbeidsplasser i bedrifter i bransjer med nedgang, og få arbeidsplasser i vekstbransjer. Denne uheldige bransjestrukturen forklarer en del av den svake utviklingen, men ikke hele nedgangen. </w:t>
      </w:r>
      <w:proofErr w:type="spellStart"/>
      <w:r>
        <w:t>Glåmdal</w:t>
      </w:r>
      <w:proofErr w:type="spellEnd"/>
      <w:r>
        <w:t xml:space="preserve"> har hatt en unormalt sterk nedgang også når vi korrigerer for bransjestrukturen. Det tolker vi som at </w:t>
      </w:r>
      <w:proofErr w:type="spellStart"/>
      <w:r>
        <w:t>Glåmdal</w:t>
      </w:r>
      <w:proofErr w:type="spellEnd"/>
      <w:r>
        <w:t xml:space="preserve"> ikke har vært attraktive for basisnæringer. Attraktiviteten for basisnæringer var spesielt svak fram til 2011. I de siste årene har </w:t>
      </w:r>
      <w:proofErr w:type="spellStart"/>
      <w:r>
        <w:t>Glåmdal</w:t>
      </w:r>
      <w:proofErr w:type="spellEnd"/>
      <w:r>
        <w:t xml:space="preserve"> hatt en mer normal utvikling i basisnæringene.</w:t>
      </w:r>
    </w:p>
    <w:p w:rsidR="008A5E84" w:rsidRDefault="008A5E84" w:rsidP="008A5E84">
      <w:r>
        <w:t xml:space="preserve">Besøksnæringene omfatter de bedriftene som er avhengig av at kundene må være personlig til stede. Det er bransjer som overnatting, servering, butikkhandel, kultur og diverse personlige tjenester. Besøksnæringene omfatter turistbransjene, men er definert litt videre. Stedenes egen befolkning er en stor kundegruppe for besøksnæringene, og besøksnæringene blir dermed sterkt påvirket av befolkningsveksten i på stedet. Besøksnæringene i </w:t>
      </w:r>
      <w:proofErr w:type="spellStart"/>
      <w:r>
        <w:t>Glåmdal</w:t>
      </w:r>
      <w:proofErr w:type="spellEnd"/>
      <w:r>
        <w:t xml:space="preserve"> har stått omtrent stille siden 2000, mens besøksnæringene i resten av landet har vokst med nesten 14 prosent. Den svake utviklingen i besøksnæringene i </w:t>
      </w:r>
      <w:proofErr w:type="spellStart"/>
      <w:r>
        <w:t>Glåmdal</w:t>
      </w:r>
      <w:proofErr w:type="spellEnd"/>
      <w:r>
        <w:t xml:space="preserve"> etter 2000 kan stort sett forklares av den svake arbeidsplassveksten.</w:t>
      </w:r>
    </w:p>
    <w:p w:rsidR="008A5E84" w:rsidRDefault="008A5E84" w:rsidP="008A5E84">
      <w:r>
        <w:t xml:space="preserve">De regionale næringene består av bransjer som ikke passer inn i basisnæringer eller besøksnæringer, og består av bransjer som bygg og anlegg, finans og forretningsmessig tjenesteyting, transport, engroshandel m fl. Det er bransjer som ofte ikke får stor oppmerksomhet i kommunale og regionale næringsstrategier, men som er viktige fordi det er mange arbeidsplasser i disse bransjene. De regionale næringene har vokst raskere i Norge enn besøksnæringer og basisnæringer. </w:t>
      </w:r>
      <w:proofErr w:type="spellStart"/>
      <w:r>
        <w:t>Glåmdal</w:t>
      </w:r>
      <w:proofErr w:type="spellEnd"/>
      <w:r>
        <w:t xml:space="preserve"> </w:t>
      </w:r>
      <w:proofErr w:type="gramStart"/>
      <w:r>
        <w:t>har</w:t>
      </w:r>
      <w:proofErr w:type="gramEnd"/>
      <w:r>
        <w:t xml:space="preserve"> </w:t>
      </w:r>
      <w:proofErr w:type="gramStart"/>
      <w:r>
        <w:t>hadde</w:t>
      </w:r>
      <w:proofErr w:type="gramEnd"/>
      <w:r>
        <w:t xml:space="preserve"> ganske sterk vekst i de regionale næringene fram til 2008, men har ikke hatt vekst i de regionale næringene etter 2008.</w:t>
      </w:r>
    </w:p>
    <w:p w:rsidR="008A5E84" w:rsidRDefault="008A5E84" w:rsidP="008A5E84">
      <w:r>
        <w:t xml:space="preserve">Den samlede næringsattraktiviteten er summen av regionens attraktivitet for basisnæringer, besøksnæringer og basisnæringer. </w:t>
      </w:r>
      <w:proofErr w:type="spellStart"/>
      <w:r>
        <w:t>Glåmdal</w:t>
      </w:r>
      <w:proofErr w:type="spellEnd"/>
      <w:r>
        <w:t xml:space="preserve"> har hatt svært dårlig attraktivitet for basisnæringer, mens attraktiviteten for besøksnæringer og regionale næringer har vært litt under middels etter 2000. Samlet sett kommer derfor </w:t>
      </w:r>
      <w:proofErr w:type="spellStart"/>
      <w:r>
        <w:t>Glåmdal</w:t>
      </w:r>
      <w:proofErr w:type="spellEnd"/>
      <w:r>
        <w:t xml:space="preserve"> ganske dårlig ut når det gjelder næringsattraktivitet. </w:t>
      </w:r>
    </w:p>
    <w:p w:rsidR="0010269B" w:rsidRDefault="0010269B" w:rsidP="0010269B">
      <w:r>
        <w:t xml:space="preserve">I kapitlet om bostedsattraktivitet har vi analysert flyttingen i </w:t>
      </w:r>
      <w:proofErr w:type="spellStart"/>
      <w:r>
        <w:t>Glåmdal</w:t>
      </w:r>
      <w:proofErr w:type="spellEnd"/>
      <w:r>
        <w:t xml:space="preserve"> for å avdekke årsakene til nettoflyttingen og nettoinnvandringen. Den svake arbeidsplassutviklingen har virket negativt for flyttingen, og burde egentlig </w:t>
      </w:r>
      <w:r>
        <w:lastRenderedPageBreak/>
        <w:t xml:space="preserve">ført til en viss netto utflytting. Når denne utflyttingen ikke har funnet sted, indikerer det at </w:t>
      </w:r>
      <w:proofErr w:type="spellStart"/>
      <w:r>
        <w:t>Glåmdal</w:t>
      </w:r>
      <w:proofErr w:type="spellEnd"/>
      <w:r>
        <w:t xml:space="preserve"> har vært attraktiv som bosted i perioden. </w:t>
      </w:r>
    </w:p>
    <w:p w:rsidR="0010269B" w:rsidRDefault="0010269B" w:rsidP="0010269B">
      <w:r>
        <w:t xml:space="preserve">I årets rapport har vi også vist noen </w:t>
      </w:r>
      <w:proofErr w:type="spellStart"/>
      <w:r>
        <w:t>scenarier</w:t>
      </w:r>
      <w:proofErr w:type="spellEnd"/>
      <w:r>
        <w:t xml:space="preserve"> for befolknings- og arbeidsplassutvikling i </w:t>
      </w:r>
      <w:proofErr w:type="spellStart"/>
      <w:r>
        <w:t>Glåmdal</w:t>
      </w:r>
      <w:proofErr w:type="spellEnd"/>
      <w:r>
        <w:t xml:space="preserve">. Et scenario som er basert på at </w:t>
      </w:r>
      <w:proofErr w:type="spellStart"/>
      <w:r>
        <w:t>Glåmdal</w:t>
      </w:r>
      <w:proofErr w:type="spellEnd"/>
      <w:r>
        <w:t xml:space="preserve"> utvikler seg som forventet, det vil si er normalt attraktiv både for næringsliv og bosetting, viser at befolkningsutviklingen kan bli vesentlig svakere enn </w:t>
      </w:r>
      <w:proofErr w:type="spellStart"/>
      <w:r>
        <w:t>SSBs</w:t>
      </w:r>
      <w:proofErr w:type="spellEnd"/>
      <w:r>
        <w:t xml:space="preserve"> middelframskriving. Et slikt normalscenario for </w:t>
      </w:r>
      <w:proofErr w:type="spellStart"/>
      <w:r>
        <w:t>Glåmdal</w:t>
      </w:r>
      <w:proofErr w:type="spellEnd"/>
      <w:r>
        <w:t xml:space="preserve"> ender opp i 47 000 innbyggere i 2040, mens </w:t>
      </w:r>
      <w:proofErr w:type="spellStart"/>
      <w:r>
        <w:t>SSBs</w:t>
      </w:r>
      <w:proofErr w:type="spellEnd"/>
      <w:r>
        <w:t xml:space="preserve"> framskrivning ender opp i over 58 000 innbyggere samme år. For å nå den befolkningsveksten som </w:t>
      </w:r>
      <w:proofErr w:type="spellStart"/>
      <w:r>
        <w:t>SSBs</w:t>
      </w:r>
      <w:proofErr w:type="spellEnd"/>
      <w:r>
        <w:t xml:space="preserve"> framskriver, må </w:t>
      </w:r>
      <w:proofErr w:type="spellStart"/>
      <w:r>
        <w:t>Glåmdal</w:t>
      </w:r>
      <w:proofErr w:type="spellEnd"/>
      <w:r>
        <w:t xml:space="preserve"> bli vesentlig mer attraktivt for næringsliv og opprettholde sin høye bostedsattraktivitet i hele perioden fram til 2040.</w:t>
      </w:r>
    </w:p>
    <w:p w:rsidR="008A5E84" w:rsidRDefault="008A5E84" w:rsidP="008A5E84">
      <w:r>
        <w:t xml:space="preserve">Næringslivet er også analysert i et kapittel basert på NHOs </w:t>
      </w:r>
      <w:proofErr w:type="spellStart"/>
      <w:r>
        <w:t>NæringsNM</w:t>
      </w:r>
      <w:proofErr w:type="spellEnd"/>
      <w:r>
        <w:t xml:space="preserve">. </w:t>
      </w:r>
      <w:proofErr w:type="spellStart"/>
      <w:r>
        <w:t>Glåmdal</w:t>
      </w:r>
      <w:proofErr w:type="spellEnd"/>
      <w:r>
        <w:t xml:space="preserve"> kommer ut som nummer 63 av 80 regioner i landet. </w:t>
      </w:r>
      <w:proofErr w:type="spellStart"/>
      <w:r>
        <w:t>Glåmdal</w:t>
      </w:r>
      <w:proofErr w:type="spellEnd"/>
      <w:r>
        <w:t xml:space="preserve"> var dårligste regioner i landet i 2009, men har forbedret seg litt hvert år siden det. </w:t>
      </w:r>
      <w:proofErr w:type="spellStart"/>
      <w:r>
        <w:t>Glåmdal</w:t>
      </w:r>
      <w:proofErr w:type="spellEnd"/>
      <w:r>
        <w:t xml:space="preserve"> kommer faktisk ut litt over middels når det gjelder nyetableringer og andel vekstforetak i 2013. Lav andel lønnsomme foretak og et forholdsvis lite næringsliv trekker ned.</w:t>
      </w:r>
    </w:p>
    <w:p w:rsidR="008A5E84" w:rsidRDefault="008A5E84" w:rsidP="008A5E84">
      <w:r>
        <w:t>Vi har også et kapittel om innovasjon i næringslivet.</w:t>
      </w:r>
      <w:r w:rsidR="00B84567">
        <w:t xml:space="preserve"> </w:t>
      </w:r>
      <w:proofErr w:type="spellStart"/>
      <w:r w:rsidR="00B84567">
        <w:t>Glåmdal</w:t>
      </w:r>
      <w:proofErr w:type="spellEnd"/>
      <w:r w:rsidR="00B84567">
        <w:t xml:space="preserve"> kommer ganske dårlig ut. Det er en lav andel av bedriftene i regionen som har gjennomført innovasjoner i form av nye produkter, nye metoder for produksjon eller nye måter å markedsføre produktene. Den lave andelen med innovative bedrifter synes ikke å komme av bransjestruktur. Etter at vi har korrigert for bransjestrukturen, er det svært lav andel av innovative bedrifter i regionen.</w:t>
      </w:r>
    </w:p>
    <w:p w:rsidR="00B84567" w:rsidRDefault="00B84567" w:rsidP="008A5E84">
      <w:r>
        <w:t xml:space="preserve">Utdanningsnivået i </w:t>
      </w:r>
      <w:proofErr w:type="spellStart"/>
      <w:r>
        <w:t>Glåmdal</w:t>
      </w:r>
      <w:proofErr w:type="spellEnd"/>
      <w:r>
        <w:t xml:space="preserve"> har også blitt beskrevet og analysert i et </w:t>
      </w:r>
      <w:proofErr w:type="gramStart"/>
      <w:r>
        <w:t>egen</w:t>
      </w:r>
      <w:proofErr w:type="gramEnd"/>
      <w:r>
        <w:t xml:space="preserve"> kapittel. </w:t>
      </w:r>
      <w:proofErr w:type="spellStart"/>
      <w:r>
        <w:t>Glåmdal</w:t>
      </w:r>
      <w:proofErr w:type="spellEnd"/>
      <w:r>
        <w:t xml:space="preserve"> har ganske lav andel av befolkningen med høyere utdanning. Det er også en svært lav andel av ansatte i næringslivet med høyere utdanning. </w:t>
      </w:r>
    </w:p>
    <w:p w:rsidR="00B84567" w:rsidRDefault="00B84567" w:rsidP="008A5E84">
      <w:proofErr w:type="spellStart"/>
      <w:r>
        <w:t>Glåmdal</w:t>
      </w:r>
      <w:proofErr w:type="spellEnd"/>
      <w:r>
        <w:t xml:space="preserve"> har ganske store utfordringer nå det gjelder næringsutvikling. Næringslivet kommer dårlig ut på omtrent alle indikatorer. Regionen holder imidlertid godt på innbyggerne sine, og har hatt overraskende lite utflytting til tross for at antall arbeidsplasser i regionen har sunket. Det har gjort at det har vært netto innflytting til regionen når vi tar med innvandringen. </w:t>
      </w:r>
      <w:proofErr w:type="spellStart"/>
      <w:r>
        <w:t>Scenariene</w:t>
      </w:r>
      <w:proofErr w:type="spellEnd"/>
      <w:r>
        <w:t xml:space="preserve"> vi har utarbeidet viser imidlertid at det vil bli befolkningsnedgang dersom utviklingen i </w:t>
      </w:r>
      <w:proofErr w:type="spellStart"/>
      <w:r>
        <w:t>Glåmdal</w:t>
      </w:r>
      <w:proofErr w:type="spellEnd"/>
      <w:r>
        <w:t xml:space="preserve"> fortsetter i samme spor. Det som etter vår mening er avgjørende, er et en lykkes i å snu næringsutviklingen i regionen. </w:t>
      </w:r>
      <w:proofErr w:type="spellStart"/>
      <w:r>
        <w:t>Glåmdal</w:t>
      </w:r>
      <w:proofErr w:type="spellEnd"/>
      <w:r>
        <w:t xml:space="preserve"> er en region som henger godt sammen, og som i stor grad deler arbeidsmarked. Det er derfor den samlede næringsutviklingen i regionen som må forbedres. Det betyr stadig mindre hvor i regionen de nye arbeidsplassene lokaliseres. En felles vellykket næringspolitikk i regionen er dermed påkrevd for å unngå nedgang, og det bør være fokus for satsningen i </w:t>
      </w:r>
      <w:proofErr w:type="spellStart"/>
      <w:r>
        <w:t>byregionprogrammet</w:t>
      </w:r>
      <w:proofErr w:type="spellEnd"/>
      <w:r>
        <w:t>.</w:t>
      </w:r>
    </w:p>
    <w:p w:rsidR="008A5E84" w:rsidRDefault="008A5E84" w:rsidP="008A5E84"/>
    <w:p w:rsidR="00257CC3" w:rsidRDefault="00257CC3" w:rsidP="00DE7085"/>
    <w:p w:rsidR="00257CC3" w:rsidRDefault="00257CC3">
      <w:pPr>
        <w:spacing w:after="0" w:line="240" w:lineRule="auto"/>
      </w:pPr>
      <w:r>
        <w:br w:type="page"/>
      </w:r>
    </w:p>
    <w:p w:rsidR="00257CC3" w:rsidRDefault="00257CC3" w:rsidP="00257CC3">
      <w:pPr>
        <w:pStyle w:val="Overskrifterinnledningskap"/>
      </w:pPr>
      <w:r>
        <w:lastRenderedPageBreak/>
        <w:t>Innledning – notatets oppbygging</w:t>
      </w:r>
    </w:p>
    <w:p w:rsidR="00257CC3" w:rsidRDefault="00257CC3" w:rsidP="00257CC3">
      <w:r>
        <w:t>I de først</w:t>
      </w:r>
      <w:r w:rsidR="00B82A70">
        <w:t xml:space="preserve">e </w:t>
      </w:r>
      <w:r w:rsidR="00125A98">
        <w:t>seks</w:t>
      </w:r>
      <w:r w:rsidR="00B82A70">
        <w:t xml:space="preserve"> kapitlene i dette notatet vil vi beskrive og analysere utviklingen i befolkning og antall arbeidsplasser. For å analysere drivkreftene i utviklingen vil vi bruke Attraktivitetsmodellen. Denne modellen har Telemarksforsking utviklet for å forstå drivkreftene bak den regionale utviklingen. Modellen er designet spesielt for å skille ut strukturelle drivkrefter, det vil si drivkrefter som det enkelte sted ikke kan gjøre noe med, fra det vi definerer som attraktivitet. Steder kan være attraktive for bedrifter eller besøk. Det fører til at stedet får en sterkere vekst i antall arbeidsplasser i næringslivet enn de strukturelle forholdene tilsier. Steder kan også være attraktive som bosteder, og dermed få en nettoflytting som er høyere enn forventet ut fra stedets arbeidsplassvekst og strukturelle forhold.</w:t>
      </w:r>
      <w:r w:rsidR="00125A98">
        <w:t xml:space="preserve"> Summen av stedets attraktivitet med hensyn til bedrift, besøk og bosetting vil</w:t>
      </w:r>
    </w:p>
    <w:bookmarkStart w:id="6" w:name="_MON_1473673075"/>
    <w:bookmarkEnd w:id="6"/>
    <w:p w:rsidR="007A47AC" w:rsidRDefault="007A47AC" w:rsidP="007A47AC">
      <w:pPr>
        <w:keepNext/>
      </w:pPr>
      <w:r>
        <w:object w:dxaOrig="9607" w:dyaOrig="5402">
          <v:shape id="_x0000_i1026" type="#_x0000_t75" style="width:482.5pt;height:274.05pt" o:ole="">
            <v:imagedata r:id="rId16" o:title=""/>
          </v:shape>
          <o:OLEObject Type="Embed" ProgID="PowerPoint.Slide.12" ShapeID="_x0000_i1026" DrawAspect="Content" ObjectID="_1484073977" r:id="rId17"/>
        </w:object>
      </w:r>
    </w:p>
    <w:p w:rsidR="00257CC3" w:rsidRDefault="007A47AC" w:rsidP="007A47AC">
      <w:pPr>
        <w:pStyle w:val="Bildetekst"/>
      </w:pPr>
      <w:r>
        <w:t xml:space="preserve">Figur </w:t>
      </w:r>
      <w:r w:rsidR="004B3D9E">
        <w:fldChar w:fldCharType="begin"/>
      </w:r>
      <w:r>
        <w:instrText xml:space="preserve"> SEQ Figur \* ARABIC </w:instrText>
      </w:r>
      <w:r w:rsidR="004B3D9E">
        <w:fldChar w:fldCharType="separate"/>
      </w:r>
      <w:r w:rsidR="00CD5BFF">
        <w:rPr>
          <w:noProof/>
        </w:rPr>
        <w:t>1</w:t>
      </w:r>
      <w:r w:rsidR="004B3D9E">
        <w:fldChar w:fldCharType="end"/>
      </w:r>
      <w:r>
        <w:t>: Attraktivitetsmodellen.</w:t>
      </w:r>
    </w:p>
    <w:p w:rsidR="007A47AC" w:rsidRDefault="007A47AC" w:rsidP="00257CC3">
      <w:r>
        <w:t xml:space="preserve">Attraktivitetsmodellen er vist skjematisk i figuren over, og vi vil utdype hvordan modellen virker etter hvert i notatet. Notatets struktur vil følge modellen. I kapitel 1 vil vi gi en kort beskrivelse av befolkningsutviklingen. I kapittel 2 vil vi beskrive og analysere arbeidsplassutviklingen, og særlig arbeidsplassutviklingen i næringslivet. I kapittel 4 binder vi samme arbeids- og befolkningsutviklingen, </w:t>
      </w:r>
      <w:proofErr w:type="gramStart"/>
      <w:r>
        <w:t>og</w:t>
      </w:r>
      <w:proofErr w:type="gramEnd"/>
      <w:r>
        <w:t xml:space="preserve"> analysere nettoflyttingen, de strukturelle flyttefaktorene og bostedsattraktiviteten. Mellom kapittel 2 og 4 har vi et kapittel om pendling og arbeidsmarkedsintegrasjon, fordi det er forhold som har betydning for flyttingen til stedet, og sammenhengen mellom arbeidsplassvekst og flytting. Etter en kort oppsummering av stedets attraktivitet for de tre dimensjonene i kapittel 5, vil vi i kapittel 6 bruke attraktivitetsmodellen til å vise </w:t>
      </w:r>
      <w:proofErr w:type="spellStart"/>
      <w:r>
        <w:t>scenarier</w:t>
      </w:r>
      <w:proofErr w:type="spellEnd"/>
      <w:r>
        <w:t xml:space="preserve"> for fremtidig utvikling av arbeidsplasser og befolkning. </w:t>
      </w:r>
      <w:r w:rsidR="00EB7846">
        <w:t xml:space="preserve">Dernest følger tre kapitler som ikke har direkte forbindelse med attraktivitetsanalysen: </w:t>
      </w:r>
      <w:r w:rsidR="0081678C">
        <w:t xml:space="preserve">Kapitel 7 er viet til </w:t>
      </w:r>
      <w:proofErr w:type="spellStart"/>
      <w:r w:rsidR="00EB7846">
        <w:t>NæringsNM</w:t>
      </w:r>
      <w:proofErr w:type="spellEnd"/>
      <w:r w:rsidR="00EB7846">
        <w:t>, som viser hvordan næringslivet gjør det med hensyn til nyetableringer, vekst og lønnsomhet</w:t>
      </w:r>
      <w:r w:rsidR="0081678C">
        <w:t>.</w:t>
      </w:r>
      <w:r w:rsidR="00EB7846">
        <w:t xml:space="preserve"> </w:t>
      </w:r>
      <w:r w:rsidR="0081678C">
        <w:t>Kapittel 8 omhandler i</w:t>
      </w:r>
      <w:r w:rsidR="00EB7846">
        <w:t xml:space="preserve">nnovasjon, </w:t>
      </w:r>
      <w:r w:rsidR="0081678C">
        <w:t>og</w:t>
      </w:r>
      <w:r w:rsidR="00EB7846">
        <w:t xml:space="preserve"> viser hvordan næringslivet gjør det med hensyn til innovasjon</w:t>
      </w:r>
      <w:r w:rsidR="0081678C">
        <w:t>.</w:t>
      </w:r>
      <w:r w:rsidR="00EB7846">
        <w:t xml:space="preserve"> </w:t>
      </w:r>
      <w:r w:rsidR="0081678C">
        <w:t>T</w:t>
      </w:r>
      <w:r w:rsidR="00EB7846">
        <w:t xml:space="preserve">il slutt </w:t>
      </w:r>
      <w:r w:rsidR="0081678C">
        <w:t xml:space="preserve">kommer et </w:t>
      </w:r>
      <w:r w:rsidR="00EB7846">
        <w:t>kapittel om formelt kompetansenivå i befolkning og næringsliv.</w:t>
      </w:r>
    </w:p>
    <w:p w:rsidR="007A47AC" w:rsidRDefault="007A47AC" w:rsidP="00257CC3"/>
    <w:p w:rsidR="00DE7085" w:rsidRDefault="008E1C02" w:rsidP="00DE7085">
      <w:pPr>
        <w:pStyle w:val="Overskrift1"/>
      </w:pPr>
      <w:bookmarkStart w:id="7" w:name="_Toc400090039"/>
      <w:bookmarkStart w:id="8" w:name="_Toc409451083"/>
      <w:r>
        <w:lastRenderedPageBreak/>
        <w:t>Befolkning</w:t>
      </w:r>
      <w:bookmarkEnd w:id="7"/>
      <w:bookmarkEnd w:id="8"/>
    </w:p>
    <w:p w:rsidR="008E1C02" w:rsidRDefault="00BF1C38" w:rsidP="00BF1C38">
      <w:pPr>
        <w:pStyle w:val="Ingress"/>
        <w:ind w:left="0"/>
      </w:pPr>
      <w:r>
        <w:t xml:space="preserve">Befolkningsutviklingen er </w:t>
      </w:r>
      <w:r w:rsidR="0081678C">
        <w:t>nok</w:t>
      </w:r>
      <w:r>
        <w:t xml:space="preserve"> den mest sentrale størrelse</w:t>
      </w:r>
      <w:r w:rsidR="0081678C">
        <w:t>n</w:t>
      </w:r>
      <w:r>
        <w:t xml:space="preserve"> i regional utvikling. I dette kapitlet vil vi ganske kort beskrive hvordan befolkningsutviklingen har vært, og hvordan befolkningsendringene er sammensatt av fødselsbalansen og flytting. Vi vil også se på hvordan flyttingen er sammensatt av innenlands flytting og innvandring.</w:t>
      </w:r>
      <w:r w:rsidR="0081678C">
        <w:t xml:space="preserve"> Til slutt introduserer vi begrepet relativt flytting, som vi vil bruke i analysene om bostedsattraktivitet i kapittel 4.</w:t>
      </w:r>
    </w:p>
    <w:bookmarkStart w:id="9" w:name="_MON_1473682189"/>
    <w:bookmarkEnd w:id="9"/>
    <w:p w:rsidR="00BF1C38" w:rsidRDefault="0081678C" w:rsidP="008E1C02">
      <w:pPr>
        <w:pStyle w:val="Ingress"/>
      </w:pPr>
      <w:r>
        <w:object w:dxaOrig="9698" w:dyaOrig="5453">
          <v:shape id="_x0000_i1027" type="#_x0000_t75" style="width:482.5pt;height:273.5pt" o:ole="">
            <v:imagedata r:id="rId18" o:title=""/>
          </v:shape>
          <o:OLEObject Type="Embed" ProgID="PowerPoint.Slide.12" ShapeID="_x0000_i1027" DrawAspect="Content" ObjectID="_1484073978" r:id="rId19"/>
        </w:object>
      </w:r>
    </w:p>
    <w:p w:rsidR="00BF1C38" w:rsidRDefault="00BF1C38" w:rsidP="00BF1C38">
      <w:r>
        <w:t xml:space="preserve">Befolkningsendringer er summen av fødselsbalansen og stedets samlede nettoflytting inkludert netto innvandring. I analysene vil vi </w:t>
      </w:r>
      <w:r w:rsidR="0081678C">
        <w:t>nøye oss med å</w:t>
      </w:r>
      <w:r>
        <w:t xml:space="preserve"> beskrive fødselsbalansen</w:t>
      </w:r>
      <w:r w:rsidR="0081678C">
        <w:t xml:space="preserve"> kort</w:t>
      </w:r>
      <w:r>
        <w:t>. I figuren har såkalt eksogene faktorer fått en grå farge, og fødselsbalansen har blitt definert som eksogen. Det er fordi vi ikke forsøker å forklare eller forstå stedenes fødselsbalanse. Det er ikke vanlig å forsøke å påvirke fødselsbalansen i regionalt utviklingsarbeid, og da er det heller ikke så stor betydning å forstå bakenforliggende årsaker. Vi vet at fødselsbalansen er et resultat av stedets alders- og kjønnsfordeling og fruktbarhet blant stedets kvinner, men vil ikke gå nærmere inn på disse faktorene.</w:t>
      </w:r>
    </w:p>
    <w:p w:rsidR="00BF1C38" w:rsidRDefault="00BF1C38" w:rsidP="00BF1C38">
      <w:r>
        <w:t xml:space="preserve">I stedet vil vi fokusere på nettoflyttingen. </w:t>
      </w:r>
      <w:r w:rsidR="00BA23DE">
        <w:t>Steder, kommuner og regioner som ønsker å s</w:t>
      </w:r>
      <w:r w:rsidR="0081678C">
        <w:t>t</w:t>
      </w:r>
      <w:r w:rsidR="00BA23DE">
        <w:t>imulere sin befolkningsvekst fokusere</w:t>
      </w:r>
      <w:r w:rsidR="0081678C">
        <w:t>r</w:t>
      </w:r>
      <w:r w:rsidR="00BA23DE">
        <w:t xml:space="preserve"> på </w:t>
      </w:r>
      <w:r w:rsidR="00866BD4">
        <w:t>å</w:t>
      </w:r>
      <w:r w:rsidR="00BA23DE">
        <w:t xml:space="preserve"> tiltrekke seg innflyttere eller begrense utflyttingen. I begge tilfeller blir nettoflyttingen bedre. Derfor er det flyttingen som det er behov for å forstå. Nettoflyttingen er derfor en sentral komponent i Attraktivitetsmodellen.</w:t>
      </w:r>
      <w:r w:rsidR="00866BD4">
        <w:t xml:space="preserve"> I dette kapitlet beskrive</w:t>
      </w:r>
      <w:r w:rsidR="0081678C">
        <w:t>s</w:t>
      </w:r>
      <w:r w:rsidR="00866BD4">
        <w:t xml:space="preserve"> nettoflyttingen. Senere i notatet, etter at vi har behandlet arbeidsplassveksten og pendlingsmønstrene, vil vi analysere nettoflyttingen med bakgrunn i disse variablene, for å avdekke drivkrefter og forklaringer til </w:t>
      </w:r>
      <w:r w:rsidR="0081678C">
        <w:t xml:space="preserve">at </w:t>
      </w:r>
      <w:r w:rsidR="00866BD4">
        <w:t>nettoflyttingen</w:t>
      </w:r>
      <w:r w:rsidR="0081678C">
        <w:t xml:space="preserve"> varierer fra sted til sted</w:t>
      </w:r>
      <w:r w:rsidR="00866BD4">
        <w:t xml:space="preserve">. </w:t>
      </w:r>
    </w:p>
    <w:p w:rsidR="00BA23DE" w:rsidRDefault="00BA23DE" w:rsidP="00BF1C38"/>
    <w:p w:rsidR="00BF1C38" w:rsidRDefault="00BF1C38" w:rsidP="008E1C02">
      <w:pPr>
        <w:pStyle w:val="Ingress"/>
      </w:pPr>
    </w:p>
    <w:p w:rsidR="00BF1C38" w:rsidRDefault="00BF1C38" w:rsidP="008E1C02">
      <w:pPr>
        <w:pStyle w:val="Ingress"/>
        <w:sectPr w:rsidR="00BF1C38" w:rsidSect="00687F25">
          <w:pgSz w:w="11907" w:h="16840" w:code="9"/>
          <w:pgMar w:top="1440" w:right="1080" w:bottom="1440" w:left="1080" w:header="709" w:footer="709" w:gutter="0"/>
          <w:cols w:space="708"/>
          <w:docGrid w:linePitch="360"/>
        </w:sectPr>
      </w:pPr>
    </w:p>
    <w:p w:rsidR="00F574EC" w:rsidRDefault="00BF1C38" w:rsidP="00866BD4">
      <w:pPr>
        <w:pStyle w:val="Overskrift2"/>
      </w:pPr>
      <w:r>
        <w:lastRenderedPageBreak/>
        <w:br w:type="page"/>
      </w:r>
      <w:bookmarkStart w:id="10" w:name="_Toc400090040"/>
      <w:r w:rsidR="00F574EC">
        <w:lastRenderedPageBreak/>
        <w:t>Folkemengden</w:t>
      </w:r>
      <w:bookmarkEnd w:id="10"/>
    </w:p>
    <w:p w:rsidR="008E1C02" w:rsidRDefault="00FC4494" w:rsidP="008E1C02">
      <w:r>
        <w:t xml:space="preserve">Folketallet i </w:t>
      </w:r>
      <w:proofErr w:type="spellStart"/>
      <w:r w:rsidR="00D15B42">
        <w:t>Glåmdal</w:t>
      </w:r>
      <w:proofErr w:type="spellEnd"/>
      <w:r>
        <w:t xml:space="preserve"> var </w:t>
      </w:r>
      <w:r w:rsidR="00831F06">
        <w:t>53 269</w:t>
      </w:r>
      <w:r>
        <w:t xml:space="preserve"> ved utgangen av </w:t>
      </w:r>
      <w:r w:rsidR="00B96F79">
        <w:t>tredje</w:t>
      </w:r>
      <w:r>
        <w:t xml:space="preserve"> kvartal i 20</w:t>
      </w:r>
      <w:r w:rsidR="00B96F79">
        <w:t>14. Folketallet i regionen var 5</w:t>
      </w:r>
      <w:r>
        <w:t>00 høyere ved starten av 2000. Det var ganske sterk nedgang mellom 200</w:t>
      </w:r>
      <w:r w:rsidR="00B96F79">
        <w:t>1</w:t>
      </w:r>
      <w:r>
        <w:t xml:space="preserve"> og 2007, men etter det har befolkningen økt litt til i dag. Fa 2007 økte innvandringen til Norge ganske mye, slik at Norges befolkningsvekst ble sterkere enn tidligere. Nesten alle regioner har fått økt innvandring, og dermed er det mange steder som har samme utvikling som </w:t>
      </w:r>
      <w:proofErr w:type="spellStart"/>
      <w:r w:rsidR="00B96F79">
        <w:t>Glåmdal</w:t>
      </w:r>
      <w:proofErr w:type="spellEnd"/>
      <w:r>
        <w:t>, med nedgang fram til 2007 og vekst etter 2007.</w:t>
      </w:r>
    </w:p>
    <w:p w:rsidR="00FF45E1" w:rsidRDefault="00FF45E1" w:rsidP="008E1C02"/>
    <w:p w:rsidR="00FF45E1" w:rsidRDefault="00FF45E1" w:rsidP="008E1C02"/>
    <w:p w:rsidR="00FF45E1" w:rsidRDefault="00FF45E1" w:rsidP="008E1C02"/>
    <w:p w:rsidR="00FF45E1" w:rsidRDefault="00FF45E1" w:rsidP="008E1C02"/>
    <w:p w:rsidR="00F574EC" w:rsidRDefault="00F574EC" w:rsidP="00F574EC">
      <w:pPr>
        <w:pStyle w:val="Overskrift2"/>
      </w:pPr>
      <w:bookmarkStart w:id="11" w:name="_Toc400090041"/>
      <w:r>
        <w:t>Indeksert vekst</w:t>
      </w:r>
      <w:bookmarkEnd w:id="11"/>
      <w:r>
        <w:t xml:space="preserve"> </w:t>
      </w:r>
    </w:p>
    <w:p w:rsidR="00B96F79" w:rsidRDefault="00FC4494" w:rsidP="008E1C02">
      <w:r>
        <w:t xml:space="preserve">Norge har hatt jevn og sterk befolkningsvekst, og veksten tok seg opp fra 2007. Veksten har vært på </w:t>
      </w:r>
      <w:r w:rsidR="00FF45E1">
        <w:t>14,1</w:t>
      </w:r>
      <w:r>
        <w:t xml:space="preserve"> prosent siden 2000. </w:t>
      </w:r>
    </w:p>
    <w:p w:rsidR="008E1C02" w:rsidRDefault="00B96F79" w:rsidP="008E1C02">
      <w:r>
        <w:t xml:space="preserve">Naboregionene til </w:t>
      </w:r>
      <w:proofErr w:type="spellStart"/>
      <w:r>
        <w:t>Glåmdal</w:t>
      </w:r>
      <w:proofErr w:type="spellEnd"/>
      <w:r>
        <w:t xml:space="preserve"> har hatt</w:t>
      </w:r>
      <w:r w:rsidR="00FF45E1">
        <w:t xml:space="preserve"> varierende vekst. Øvre Romerike er en av regionene i landet med raskest vekst. Her har folketallet vokst med 36,8 prosent fra 2000 til 2014. Hamarregionen har vokst med 8,4 og Sør Østerdal med 4,7.</w:t>
      </w:r>
    </w:p>
    <w:p w:rsidR="00FF45E1" w:rsidRDefault="00FF45E1" w:rsidP="008E1C02">
      <w:proofErr w:type="spellStart"/>
      <w:r>
        <w:t>Glåmdal</w:t>
      </w:r>
      <w:proofErr w:type="spellEnd"/>
      <w:r>
        <w:t xml:space="preserve"> har hatt en nedgang siden 2000 på 0,9 prosent.</w:t>
      </w:r>
    </w:p>
    <w:p w:rsidR="00D15B42" w:rsidRDefault="00D15B42" w:rsidP="008E1C02"/>
    <w:p w:rsidR="008E1C02" w:rsidRDefault="008E1C02" w:rsidP="008E1C02">
      <w:r>
        <w:br w:type="column"/>
      </w:r>
      <w:r w:rsidR="00592AED">
        <w:rPr>
          <w:noProof/>
          <w:lang w:eastAsia="nb-NO"/>
        </w:rPr>
        <w:lastRenderedPageBreak/>
        <w:drawing>
          <wp:inline distT="0" distB="0" distL="0" distR="0">
            <wp:extent cx="3000375" cy="2943225"/>
            <wp:effectExtent l="0" t="0" r="0"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E1C02" w:rsidRDefault="00A11F5D" w:rsidP="00A11F5D">
      <w:pPr>
        <w:pStyle w:val="Bildetekst"/>
      </w:pPr>
      <w:r>
        <w:t xml:space="preserve">Figur </w:t>
      </w:r>
      <w:r w:rsidR="004B3D9E">
        <w:fldChar w:fldCharType="begin"/>
      </w:r>
      <w:r>
        <w:instrText xml:space="preserve"> SEQ Figur \* ARABIC </w:instrText>
      </w:r>
      <w:r w:rsidR="004B3D9E">
        <w:fldChar w:fldCharType="separate"/>
      </w:r>
      <w:r w:rsidR="00CD5BFF">
        <w:rPr>
          <w:noProof/>
        </w:rPr>
        <w:t>2</w:t>
      </w:r>
      <w:r w:rsidR="004B3D9E">
        <w:fldChar w:fldCharType="end"/>
      </w:r>
      <w:r>
        <w:t xml:space="preserve">: </w:t>
      </w:r>
      <w:r w:rsidR="00407765">
        <w:t xml:space="preserve">Befolkningen i </w:t>
      </w:r>
      <w:proofErr w:type="spellStart"/>
      <w:r w:rsidR="00D15B42">
        <w:t>Glåmdal</w:t>
      </w:r>
      <w:proofErr w:type="spellEnd"/>
      <w:r w:rsidR="00FC4494">
        <w:t>.</w:t>
      </w:r>
    </w:p>
    <w:p w:rsidR="0087019D" w:rsidRPr="0087019D" w:rsidRDefault="0087019D" w:rsidP="0087019D"/>
    <w:p w:rsidR="008E1C02" w:rsidRDefault="00FF45E1" w:rsidP="008E1C02">
      <w:r>
        <w:rPr>
          <w:noProof/>
          <w:lang w:eastAsia="nb-NO"/>
        </w:rPr>
        <w:drawing>
          <wp:inline distT="0" distB="0" distL="0" distR="0">
            <wp:extent cx="2914650" cy="3178175"/>
            <wp:effectExtent l="0" t="0" r="0" b="3175"/>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1F5D" w:rsidRDefault="003969F1" w:rsidP="0087019D">
      <w:pPr>
        <w:pStyle w:val="Bildetekst"/>
      </w:pPr>
      <w:r>
        <w:t xml:space="preserve">Figur </w:t>
      </w:r>
      <w:r w:rsidR="004B3D9E">
        <w:fldChar w:fldCharType="begin"/>
      </w:r>
      <w:r>
        <w:instrText xml:space="preserve"> SEQ Figur \* ARABIC </w:instrText>
      </w:r>
      <w:r w:rsidR="004B3D9E">
        <w:fldChar w:fldCharType="separate"/>
      </w:r>
      <w:r w:rsidR="00CD5BFF">
        <w:rPr>
          <w:noProof/>
        </w:rPr>
        <w:t>3</w:t>
      </w:r>
      <w:r w:rsidR="004B3D9E">
        <w:fldChar w:fldCharType="end"/>
      </w:r>
      <w:r>
        <w:t xml:space="preserve">: Indeksert befolkningsvekst i </w:t>
      </w:r>
      <w:proofErr w:type="spellStart"/>
      <w:r w:rsidR="00D15B42">
        <w:t>Glåmdal</w:t>
      </w:r>
      <w:proofErr w:type="spellEnd"/>
      <w:r w:rsidR="00FC4494">
        <w:t>,</w:t>
      </w:r>
      <w:r w:rsidR="000C3E74">
        <w:t xml:space="preserve"> naboregionene til </w:t>
      </w:r>
      <w:proofErr w:type="spellStart"/>
      <w:r w:rsidR="000C3E74">
        <w:t>Glåmdal</w:t>
      </w:r>
      <w:proofErr w:type="spellEnd"/>
      <w:r w:rsidR="000C3E74">
        <w:t xml:space="preserve"> og Norge </w:t>
      </w:r>
      <w:r w:rsidR="00FC4494">
        <w:t>fra 2000 til slu</w:t>
      </w:r>
      <w:r w:rsidR="000C3E74">
        <w:t>t</w:t>
      </w:r>
      <w:r w:rsidR="00FC4494">
        <w:t>ten av 2. kvartal 2014</w:t>
      </w:r>
      <w:r>
        <w:t xml:space="preserve"> </w:t>
      </w:r>
    </w:p>
    <w:p w:rsidR="008E1C02" w:rsidRDefault="008E1C02">
      <w:pPr>
        <w:spacing w:after="0" w:line="240" w:lineRule="auto"/>
        <w:sectPr w:rsidR="008E1C02" w:rsidSect="00687F25">
          <w:type w:val="continuous"/>
          <w:pgSz w:w="11907" w:h="16840" w:code="9"/>
          <w:pgMar w:top="1440" w:right="1080" w:bottom="1440" w:left="1080" w:header="709" w:footer="709" w:gutter="0"/>
          <w:cols w:num="2" w:space="566"/>
          <w:docGrid w:linePitch="360"/>
        </w:sectPr>
      </w:pPr>
      <w:r>
        <w:br w:type="page"/>
      </w:r>
    </w:p>
    <w:p w:rsidR="00C66C0D" w:rsidRDefault="00C66C0D" w:rsidP="00C66C0D">
      <w:pPr>
        <w:pStyle w:val="Overskrift3"/>
      </w:pPr>
      <w:bookmarkStart w:id="12" w:name="_Toc400090042"/>
      <w:r>
        <w:lastRenderedPageBreak/>
        <w:t xml:space="preserve">Befolkningsutviklingen i </w:t>
      </w:r>
      <w:bookmarkEnd w:id="12"/>
      <w:proofErr w:type="spellStart"/>
      <w:r w:rsidR="00F30CE1">
        <w:t>Glåmdal</w:t>
      </w:r>
      <w:proofErr w:type="spellEnd"/>
    </w:p>
    <w:p w:rsidR="00C66C0D" w:rsidRDefault="00A538A3" w:rsidP="00C66C0D">
      <w:r>
        <w:t xml:space="preserve">Fødselsbalansen i </w:t>
      </w:r>
      <w:proofErr w:type="spellStart"/>
      <w:r w:rsidR="00FF45E1">
        <w:t>Glåmdal</w:t>
      </w:r>
      <w:proofErr w:type="spellEnd"/>
      <w:r>
        <w:t xml:space="preserve"> har vært negativ i alle periodene etter 2000, og bidrar </w:t>
      </w:r>
      <w:r w:rsidR="00FF45E1">
        <w:t xml:space="preserve">ganske sterkt </w:t>
      </w:r>
      <w:r>
        <w:t>til befolkningsnedgang i alle periodene.</w:t>
      </w:r>
    </w:p>
    <w:p w:rsidR="00A538A3" w:rsidRDefault="00A538A3" w:rsidP="00C66C0D">
      <w:proofErr w:type="gramStart"/>
      <w:r>
        <w:t>Innenlands flytting har</w:t>
      </w:r>
      <w:proofErr w:type="gramEnd"/>
      <w:r>
        <w:t xml:space="preserve"> </w:t>
      </w:r>
      <w:r w:rsidR="00FF45E1">
        <w:t>vekslet på å være positiv og negativ. I de siste periodene har det vær</w:t>
      </w:r>
      <w:r w:rsidR="00CA1253">
        <w:t>t</w:t>
      </w:r>
      <w:r w:rsidR="00FF45E1">
        <w:t xml:space="preserve"> en negativ trend med stadig økende flyttetap mot ande norske regioner.</w:t>
      </w:r>
    </w:p>
    <w:p w:rsidR="00A538A3" w:rsidRDefault="00A538A3" w:rsidP="00C66C0D">
      <w:r>
        <w:t>Netto innvandring har bidratt positivt til befolkningsutviklingen hele tiden, og har begrenset befolkningsnedgangen i noen perioder, og skapt vekst i andre perioder.</w:t>
      </w:r>
    </w:p>
    <w:p w:rsidR="00C66C0D" w:rsidRDefault="00C66C0D" w:rsidP="00EA1FFC">
      <w:pPr>
        <w:pStyle w:val="Overskrift3"/>
      </w:pPr>
      <w:bookmarkStart w:id="13" w:name="_Toc400090043"/>
      <w:r>
        <w:t>Befolkningsutviklingen i Norge</w:t>
      </w:r>
      <w:bookmarkEnd w:id="13"/>
    </w:p>
    <w:p w:rsidR="00EA1FFC" w:rsidRDefault="00A538A3" w:rsidP="00C66C0D">
      <w:r>
        <w:t>I figur 5 ser vi hvordan befolkningen i Norge har utviklet seg. Nettoinnvandring</w:t>
      </w:r>
      <w:r w:rsidR="00BC7716">
        <w:t>en</w:t>
      </w:r>
      <w:r>
        <w:t xml:space="preserve"> økte mye fram til 2008 og har hold seg høy siden. I Norge er det et positivt fødselsoverskudd som også bidrar til veksten. </w:t>
      </w:r>
      <w:proofErr w:type="gramStart"/>
      <w:r>
        <w:t>Innenlands flytting er</w:t>
      </w:r>
      <w:proofErr w:type="gramEnd"/>
      <w:r>
        <w:t xml:space="preserve"> et </w:t>
      </w:r>
      <w:proofErr w:type="spellStart"/>
      <w:r>
        <w:t>nullsumspill</w:t>
      </w:r>
      <w:proofErr w:type="spellEnd"/>
      <w:r>
        <w:t xml:space="preserve"> mellom regionene og forsvinner derfor når vi ser på </w:t>
      </w:r>
      <w:r w:rsidR="00BC7716">
        <w:t>hele landet</w:t>
      </w:r>
      <w:r>
        <w:t>.</w:t>
      </w:r>
    </w:p>
    <w:p w:rsidR="00EA1FFC" w:rsidRDefault="00DF658E" w:rsidP="00EA1FFC">
      <w:pPr>
        <w:pStyle w:val="Overskrift3"/>
      </w:pPr>
      <w:bookmarkStart w:id="14" w:name="_Toc400090044"/>
      <w:r>
        <w:t>Relativ utvikling</w:t>
      </w:r>
      <w:bookmarkEnd w:id="14"/>
    </w:p>
    <w:p w:rsidR="00EA1FFC" w:rsidRDefault="00A538A3" w:rsidP="00C66C0D">
      <w:r>
        <w:t xml:space="preserve">I figur 6 ser vi hvordan den relative utviklingen har vært i </w:t>
      </w:r>
      <w:proofErr w:type="spellStart"/>
      <w:r w:rsidR="00FF45E1">
        <w:t>Glåmdal</w:t>
      </w:r>
      <w:proofErr w:type="spellEnd"/>
      <w:r>
        <w:t xml:space="preserve">. Verdiene i grafen er fra figur 4 fratrukket verdiene for Norge i figur 5. Den relative utviklingen viser hva som har ført til at befolkningsutviklingen i </w:t>
      </w:r>
      <w:proofErr w:type="spellStart"/>
      <w:r w:rsidR="00FF45E1">
        <w:t>Glåmdal</w:t>
      </w:r>
      <w:proofErr w:type="spellEnd"/>
      <w:r w:rsidR="00FF45E1">
        <w:t xml:space="preserve"> </w:t>
      </w:r>
      <w:r>
        <w:t>har avveket fra landsgjennomsnittet.</w:t>
      </w:r>
    </w:p>
    <w:p w:rsidR="00A538A3" w:rsidRDefault="00A538A3" w:rsidP="00C66C0D">
      <w:r>
        <w:t xml:space="preserve">Da ser vi at nettoinnvandringen til </w:t>
      </w:r>
      <w:proofErr w:type="spellStart"/>
      <w:r w:rsidR="00FF45E1">
        <w:t>Glåmdal</w:t>
      </w:r>
      <w:proofErr w:type="spellEnd"/>
      <w:r w:rsidR="00FF45E1">
        <w:t xml:space="preserve"> </w:t>
      </w:r>
      <w:r>
        <w:t>har vært litt mindre enn for Norge. Den negative fødselsbalansen fører til at regionen må ha enten ganske høy netto innenlands flytteoverskudd eller langt høyere nettoinnvandring for å oppnå gjennomsnittlig befolkningsvekst.</w:t>
      </w:r>
    </w:p>
    <w:p w:rsidR="00EA1FFC" w:rsidRDefault="00EA1FFC" w:rsidP="00C66C0D"/>
    <w:p w:rsidR="00EA1FFC" w:rsidRDefault="00EA1FFC" w:rsidP="00C66C0D"/>
    <w:p w:rsidR="00EA1FFC" w:rsidRDefault="00EA1FFC" w:rsidP="00C66C0D"/>
    <w:p w:rsidR="00C66C0D" w:rsidRDefault="00C66C0D" w:rsidP="00C66C0D">
      <w:r>
        <w:br w:type="column"/>
      </w:r>
      <w:r w:rsidR="00D15B42">
        <w:rPr>
          <w:noProof/>
          <w:lang w:eastAsia="nb-NO"/>
        </w:rPr>
        <w:lastRenderedPageBreak/>
        <w:drawing>
          <wp:inline distT="0" distB="0" distL="0" distR="0">
            <wp:extent cx="2869565" cy="2324100"/>
            <wp:effectExtent l="0" t="0" r="6985" b="0"/>
            <wp:docPr id="44" name="Diagra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6C0D" w:rsidRPr="00C66C0D" w:rsidRDefault="00A40FBC" w:rsidP="00A40FBC">
      <w:pPr>
        <w:pStyle w:val="Bildetekst"/>
      </w:pPr>
      <w:r>
        <w:t xml:space="preserve">Figur </w:t>
      </w:r>
      <w:r w:rsidR="004B3D9E">
        <w:fldChar w:fldCharType="begin"/>
      </w:r>
      <w:r>
        <w:instrText xml:space="preserve"> SEQ Figur \* ARABIC </w:instrText>
      </w:r>
      <w:r w:rsidR="004B3D9E">
        <w:fldChar w:fldCharType="separate"/>
      </w:r>
      <w:r w:rsidR="00CD5BFF">
        <w:rPr>
          <w:noProof/>
        </w:rPr>
        <w:t>4</w:t>
      </w:r>
      <w:r w:rsidR="004B3D9E">
        <w:fldChar w:fldCharType="end"/>
      </w:r>
      <w:r>
        <w:t xml:space="preserve">: </w:t>
      </w:r>
      <w:r w:rsidR="00A538A3">
        <w:t xml:space="preserve">Befolkningsendringer for </w:t>
      </w:r>
      <w:proofErr w:type="spellStart"/>
      <w:r w:rsidR="00D15B42">
        <w:t>Glåmdal</w:t>
      </w:r>
      <w:proofErr w:type="spellEnd"/>
      <w:r w:rsidR="00D15B42">
        <w:t xml:space="preserve"> </w:t>
      </w:r>
      <w:r w:rsidR="00A538A3">
        <w:t>siste 12 måneder målt hvert kvartal, overlappende perioder, dekomponert.</w:t>
      </w:r>
    </w:p>
    <w:p w:rsidR="00085628" w:rsidRDefault="00085628" w:rsidP="003B4A51">
      <w:r>
        <w:rPr>
          <w:noProof/>
          <w:lang w:eastAsia="nb-NO"/>
        </w:rPr>
        <w:drawing>
          <wp:inline distT="0" distB="0" distL="0" distR="0">
            <wp:extent cx="2869565" cy="2043486"/>
            <wp:effectExtent l="0" t="0" r="698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B4A51" w:rsidRDefault="00A40FBC" w:rsidP="00A40FBC">
      <w:pPr>
        <w:pStyle w:val="Bildetekst"/>
      </w:pPr>
      <w:r>
        <w:t xml:space="preserve">Figur </w:t>
      </w:r>
      <w:r w:rsidR="004B3D9E">
        <w:fldChar w:fldCharType="begin"/>
      </w:r>
      <w:r>
        <w:instrText xml:space="preserve"> SEQ Figur \* ARABIC </w:instrText>
      </w:r>
      <w:r w:rsidR="004B3D9E">
        <w:fldChar w:fldCharType="separate"/>
      </w:r>
      <w:r w:rsidR="00CD5BFF">
        <w:rPr>
          <w:noProof/>
        </w:rPr>
        <w:t>5</w:t>
      </w:r>
      <w:r w:rsidR="004B3D9E">
        <w:fldChar w:fldCharType="end"/>
      </w:r>
      <w:r>
        <w:t xml:space="preserve">: </w:t>
      </w:r>
      <w:r w:rsidR="00A538A3">
        <w:t>Befolkningsendringer for Norge siste 12 måneder målt hvert kvartal, overlappende perioder, dekomponert.</w:t>
      </w:r>
    </w:p>
    <w:p w:rsidR="003B4A51" w:rsidRDefault="00D15B42" w:rsidP="003B4A51">
      <w:r>
        <w:rPr>
          <w:noProof/>
          <w:lang w:eastAsia="nb-NO"/>
        </w:rPr>
        <w:drawing>
          <wp:inline distT="0" distB="0" distL="0" distR="0">
            <wp:extent cx="2869565" cy="2256790"/>
            <wp:effectExtent l="0" t="0" r="6985" b="0"/>
            <wp:docPr id="46" name="Diagram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66C0D" w:rsidRDefault="00E40DD6" w:rsidP="00A538A3">
      <w:pPr>
        <w:pStyle w:val="Bildetekst"/>
      </w:pPr>
      <w:r>
        <w:t xml:space="preserve">Figur </w:t>
      </w:r>
      <w:r w:rsidR="004B3D9E">
        <w:fldChar w:fldCharType="begin"/>
      </w:r>
      <w:r>
        <w:instrText xml:space="preserve"> SEQ Figur \* ARABIC </w:instrText>
      </w:r>
      <w:r w:rsidR="004B3D9E">
        <w:fldChar w:fldCharType="separate"/>
      </w:r>
      <w:r w:rsidR="00CD5BFF">
        <w:rPr>
          <w:noProof/>
        </w:rPr>
        <w:t>6</w:t>
      </w:r>
      <w:r w:rsidR="004B3D9E">
        <w:fldChar w:fldCharType="end"/>
      </w:r>
      <w:r>
        <w:t xml:space="preserve">: </w:t>
      </w:r>
      <w:r w:rsidR="00A538A3">
        <w:t xml:space="preserve">Relative endringer i </w:t>
      </w:r>
      <w:proofErr w:type="spellStart"/>
      <w:r w:rsidR="00D15B42">
        <w:t>Glåmdal</w:t>
      </w:r>
      <w:proofErr w:type="spellEnd"/>
      <w:r w:rsidR="00D15B42">
        <w:t xml:space="preserve"> </w:t>
      </w:r>
      <w:r w:rsidR="00A538A3">
        <w:t>i forhold til Norge.</w:t>
      </w:r>
      <w:r w:rsidR="00C66C0D">
        <w:br w:type="page"/>
      </w:r>
    </w:p>
    <w:p w:rsidR="003B4A51" w:rsidRDefault="003108EB" w:rsidP="001B70CF">
      <w:pPr>
        <w:pStyle w:val="Overskrift2"/>
      </w:pPr>
      <w:bookmarkStart w:id="15" w:name="_Toc400090045"/>
      <w:r>
        <w:lastRenderedPageBreak/>
        <w:t>Relativ flytting</w:t>
      </w:r>
      <w:bookmarkEnd w:id="15"/>
    </w:p>
    <w:p w:rsidR="005F218E" w:rsidRDefault="005F218E" w:rsidP="001B70CF">
      <w:r>
        <w:t xml:space="preserve">På de forrige sidene så vi hvordan utviklingen i </w:t>
      </w:r>
      <w:proofErr w:type="spellStart"/>
      <w:r w:rsidR="000A45CA">
        <w:t>Glåmdal</w:t>
      </w:r>
      <w:proofErr w:type="spellEnd"/>
      <w:r>
        <w:t xml:space="preserve"> er dekomponert i innenlands flytting, innvandring og fødselsbalanse. I regional utvikling er vi spesielt opptatt av flyttingen. Et sted kan gjøre tiltak for å bedre tilflyttingen til stedet. Fødselsbalansen kan man kun påvirke indirekte ved å sørge for å trekke til seg kvinner i fruktbar alder. Derfor er flyttingen et overordnet mål og avhengig variabel i attraktivitetsmodellen. </w:t>
      </w:r>
    </w:p>
    <w:p w:rsidR="005D7118" w:rsidRDefault="00D80F34" w:rsidP="003B4A51">
      <w:r>
        <w:t xml:space="preserve">På de forrige sidene så vi at det har vært høy innvandring til Norge i de seneste årene. Det er innvandringen som står for mesteparten av befolkningsøkningen. Alle kommuner i Norge kan dermed forvente </w:t>
      </w:r>
      <w:r w:rsidR="005D7118">
        <w:t xml:space="preserve">økt </w:t>
      </w:r>
      <w:r>
        <w:t xml:space="preserve">befolkningsvekst på grunn av en generell høy nettoinnvandring til landet. </w:t>
      </w:r>
    </w:p>
    <w:p w:rsidR="00D80F34" w:rsidRDefault="005D7118" w:rsidP="003B4A51">
      <w:r w:rsidRPr="005D7118">
        <w:rPr>
          <w:i/>
        </w:rPr>
        <w:t>Relativ nettoflytting</w:t>
      </w:r>
      <w:r>
        <w:t xml:space="preserve"> er et mål som sier noe om stedenes nettoflytting over tid sammenliknet med andre steder. Relativ flytting er </w:t>
      </w:r>
      <w:r w:rsidR="004F01D4">
        <w:t>nettofl</w:t>
      </w:r>
      <w:r w:rsidR="009076A8">
        <w:t xml:space="preserve">yttingen </w:t>
      </w:r>
      <w:r w:rsidR="001B70CF">
        <w:t xml:space="preserve">inklusive innvandring </w:t>
      </w:r>
      <w:r w:rsidR="009076A8">
        <w:t>til stedet vi studerer,</w:t>
      </w:r>
      <w:r w:rsidR="004F01D4">
        <w:t xml:space="preserve"> minus nettoflyttingen på landsbasis. </w:t>
      </w:r>
      <w:r w:rsidR="00802996">
        <w:t xml:space="preserve">Den relative flyttingen blir et godt mål på om stedet har hatt en positiv befolkningsutvikling utover det den generelle innvandringen på landsbasis skulle tilsi. </w:t>
      </w:r>
      <w:r>
        <w:t>Vi kan finne den relative flyttingen fra figur 6 på forrige side gjennom å legge sammen innenlands flytting og relativ innvandring.</w:t>
      </w:r>
    </w:p>
    <w:p w:rsidR="001B70CF" w:rsidRDefault="00802996" w:rsidP="001B70CF">
      <w:r>
        <w:t xml:space="preserve">Videre i rapporten vil vi fokusere spesielt på den relative flyttingen. </w:t>
      </w:r>
      <w:r w:rsidR="00CC2F49">
        <w:t xml:space="preserve">Det er den relative flyttingen vi antar at et sted kan påvirke gjennom sin attraktivitet for bedrift, besøk og bosted. </w:t>
      </w:r>
      <w:r w:rsidR="001B70CF">
        <w:t xml:space="preserve">De kommunene som har hatt en høyere nettoflytting enn Norge, sier vi at har hatt en positiv </w:t>
      </w:r>
      <w:r w:rsidR="001B70CF" w:rsidRPr="00201DB6">
        <w:rPr>
          <w:i/>
        </w:rPr>
        <w:t>relativ flytting</w:t>
      </w:r>
      <w:r w:rsidR="001B70CF">
        <w:t xml:space="preserve">. Kommunene som har hatt en lavere nettoflytting enn landet som helhet, har hatt en negativ </w:t>
      </w:r>
      <w:r w:rsidR="001B70CF" w:rsidRPr="00201DB6">
        <w:rPr>
          <w:i/>
        </w:rPr>
        <w:t>relativ flytting</w:t>
      </w:r>
      <w:r w:rsidR="001B70CF">
        <w:t xml:space="preserve">. </w:t>
      </w:r>
    </w:p>
    <w:p w:rsidR="005F218E" w:rsidRDefault="001B70CF" w:rsidP="003B4A51">
      <w:r>
        <w:t xml:space="preserve">Figur 7 </w:t>
      </w:r>
      <w:r w:rsidR="00EA0548">
        <w:t xml:space="preserve">høyre viser </w:t>
      </w:r>
      <w:r>
        <w:t xml:space="preserve">den relative </w:t>
      </w:r>
      <w:r w:rsidR="00EA0548">
        <w:t xml:space="preserve">nettoflyttingen i </w:t>
      </w:r>
      <w:proofErr w:type="spellStart"/>
      <w:r w:rsidR="00FF45E1">
        <w:t>Glåmdal</w:t>
      </w:r>
      <w:proofErr w:type="spellEnd"/>
      <w:r w:rsidR="00FF45E1">
        <w:t xml:space="preserve"> </w:t>
      </w:r>
      <w:r>
        <w:t>i hvert år siden 2000, og vi har satt inn fødselsbalansen og Norges innvandring i tillegg, for å få fram den relative betydningen. Summen av de tre er lik befolkningsveksten.</w:t>
      </w:r>
    </w:p>
    <w:p w:rsidR="001B70CF" w:rsidRDefault="001B70CF" w:rsidP="003B4A51">
      <w:r>
        <w:t>Den relative flyttingen har vært negativ i alle årene</w:t>
      </w:r>
      <w:r w:rsidR="00FF45E1">
        <w:t xml:space="preserve"> etter 2003</w:t>
      </w:r>
      <w:r>
        <w:t>.</w:t>
      </w:r>
    </w:p>
    <w:p w:rsidR="005F218E" w:rsidRDefault="00A039E6" w:rsidP="00F429B9">
      <w:r>
        <w:br w:type="column"/>
      </w:r>
      <w:r w:rsidR="00D15B42">
        <w:rPr>
          <w:noProof/>
          <w:lang w:eastAsia="nb-NO"/>
        </w:rPr>
        <w:lastRenderedPageBreak/>
        <w:drawing>
          <wp:inline distT="0" distB="0" distL="0" distR="0">
            <wp:extent cx="2962275" cy="3200400"/>
            <wp:effectExtent l="0" t="0" r="0" b="0"/>
            <wp:docPr id="54" name="Diagram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429B9" w:rsidRDefault="008F68B2" w:rsidP="009335F9">
      <w:pPr>
        <w:pStyle w:val="Bildetekst"/>
      </w:pPr>
      <w:r>
        <w:t xml:space="preserve">Figur </w:t>
      </w:r>
      <w:r w:rsidR="004B3D9E">
        <w:fldChar w:fldCharType="begin"/>
      </w:r>
      <w:r>
        <w:instrText xml:space="preserve"> SEQ Figur \* ARABIC </w:instrText>
      </w:r>
      <w:r w:rsidR="004B3D9E">
        <w:fldChar w:fldCharType="separate"/>
      </w:r>
      <w:r w:rsidR="00CD5BFF">
        <w:rPr>
          <w:noProof/>
        </w:rPr>
        <w:t>7</w:t>
      </w:r>
      <w:r w:rsidR="004B3D9E">
        <w:fldChar w:fldCharType="end"/>
      </w:r>
      <w:r>
        <w:t xml:space="preserve">: </w:t>
      </w:r>
      <w:r w:rsidR="001B70CF">
        <w:t xml:space="preserve">Befolkningsveksten i </w:t>
      </w:r>
      <w:proofErr w:type="spellStart"/>
      <w:r w:rsidR="00D15B42">
        <w:t>Glåmdal</w:t>
      </w:r>
      <w:proofErr w:type="spellEnd"/>
      <w:r w:rsidR="001B70CF">
        <w:t>, dekomponert i andel av Norges innvandring, fødselsbalansen og relativ flytting</w:t>
      </w:r>
      <w:r w:rsidR="00EA0548">
        <w:t xml:space="preserve">. </w:t>
      </w:r>
    </w:p>
    <w:p w:rsidR="001B70CF" w:rsidRDefault="00FF45E1" w:rsidP="005D7118">
      <w:r>
        <w:t xml:space="preserve">Selv om den relative flyttingen til </w:t>
      </w:r>
      <w:proofErr w:type="spellStart"/>
      <w:r>
        <w:t>Glåmdal</w:t>
      </w:r>
      <w:proofErr w:type="spellEnd"/>
      <w:r>
        <w:t xml:space="preserve"> har vært negativ, er det ikke snakk om et spesielt stort flyttetap. Det har tross alt vært en innenlands flyttegevinst i enkelte perioder. Der er mange andre regioner med større flyttetap enn </w:t>
      </w:r>
      <w:proofErr w:type="spellStart"/>
      <w:r>
        <w:t>Glåmdal</w:t>
      </w:r>
      <w:proofErr w:type="spellEnd"/>
      <w:r>
        <w:t xml:space="preserve">. Det som er spesielt for </w:t>
      </w:r>
      <w:proofErr w:type="spellStart"/>
      <w:r>
        <w:t>Glåmdal</w:t>
      </w:r>
      <w:proofErr w:type="spellEnd"/>
      <w:r>
        <w:t xml:space="preserve"> er det store fødselsunderskuddet. </w:t>
      </w:r>
      <w:r w:rsidR="0043008D">
        <w:t xml:space="preserve">Ingen andre regioner i landet har hatt større samlet fødselsunderskudd etter 2000. Det skyldes hovedsakelig at det var en stor innflytting til </w:t>
      </w:r>
      <w:proofErr w:type="spellStart"/>
      <w:r w:rsidR="0043008D">
        <w:t>Glåmdal</w:t>
      </w:r>
      <w:proofErr w:type="spellEnd"/>
      <w:r w:rsidR="0043008D">
        <w:t xml:space="preserve"> på 60- og 70-tallet. De som flyttet inn da, har blitt eldre nå, og dermed har dødeligheten i </w:t>
      </w:r>
      <w:proofErr w:type="spellStart"/>
      <w:r w:rsidR="0043008D">
        <w:t>Glåmdal</w:t>
      </w:r>
      <w:proofErr w:type="spellEnd"/>
      <w:r w:rsidR="0043008D">
        <w:t xml:space="preserve"> blitt høy. I tillegg er fruktbarheten i Hedmark blant de laveste i landet, noe som gjør at det blir færre fødte.</w:t>
      </w:r>
    </w:p>
    <w:p w:rsidR="001B70CF" w:rsidRDefault="001B70CF" w:rsidP="001D68E6">
      <w:pPr>
        <w:pStyle w:val="Bildetekst"/>
      </w:pPr>
    </w:p>
    <w:p w:rsidR="00A039E6" w:rsidRDefault="001B70CF" w:rsidP="001D68E6">
      <w:pPr>
        <w:pStyle w:val="Bildetekst"/>
        <w:sectPr w:rsidR="00A039E6" w:rsidSect="00687F25">
          <w:type w:val="continuous"/>
          <w:pgSz w:w="11907" w:h="16840" w:code="9"/>
          <w:pgMar w:top="1440" w:right="1080" w:bottom="1440" w:left="1080" w:header="709" w:footer="709" w:gutter="0"/>
          <w:cols w:num="2" w:space="708"/>
          <w:docGrid w:linePitch="360"/>
        </w:sectPr>
      </w:pPr>
      <w:r>
        <w:t xml:space="preserve"> </w:t>
      </w:r>
      <w:r w:rsidR="00A039E6">
        <w:br w:type="page"/>
      </w:r>
    </w:p>
    <w:p w:rsidR="001D68E6" w:rsidRDefault="00B85A16" w:rsidP="00B85A16">
      <w:pPr>
        <w:pStyle w:val="Overskrift1"/>
      </w:pPr>
      <w:bookmarkStart w:id="16" w:name="_Toc400090046"/>
      <w:bookmarkStart w:id="17" w:name="_Toc409451084"/>
      <w:r>
        <w:lastRenderedPageBreak/>
        <w:t>Arbeidsplasser</w:t>
      </w:r>
      <w:bookmarkEnd w:id="16"/>
      <w:bookmarkEnd w:id="17"/>
    </w:p>
    <w:p w:rsidR="00B85A16" w:rsidRDefault="00BF1C38" w:rsidP="008C263A">
      <w:pPr>
        <w:pStyle w:val="Ingress"/>
        <w:ind w:left="0"/>
      </w:pPr>
      <w:r>
        <w:t>I dette kapitlet skal vi beskrive og analysere utviklingen av antall arbeidsplasser. Arbeidsplassutviklingen er sa</w:t>
      </w:r>
      <w:r w:rsidR="005D7118">
        <w:t>m</w:t>
      </w:r>
      <w:r>
        <w:t>men med befolkningsutviklingen de to sentrale størrelsene som vi må beskrive, analysere og forstå i den regionale utviklingen.</w:t>
      </w:r>
      <w:r w:rsidR="00A604D5">
        <w:t xml:space="preserve"> </w:t>
      </w:r>
      <w:r w:rsidR="00B85A16">
        <w:t xml:space="preserve"> </w:t>
      </w:r>
      <w:r>
        <w:t xml:space="preserve">Vi vil starte med en beskrivelse av utviklingen av antall arbeidsplasser samlet, og </w:t>
      </w:r>
      <w:proofErr w:type="spellStart"/>
      <w:r>
        <w:t>sektorvis</w:t>
      </w:r>
      <w:proofErr w:type="spellEnd"/>
      <w:r>
        <w:t xml:space="preserve">. Deretter ser vil nærmere på hvordan de enkelte delene av næringslivet har utviklet seg. Til slutt analyserer vi utviklingen i den enkelte delene av næringslivet for å finne ut hvor mye som kan forklares av strukturelle forhold og hvor stor del av utviklingen som synes å komme fra spesielle forhold i regionen. </w:t>
      </w:r>
    </w:p>
    <w:p w:rsidR="00941194" w:rsidRDefault="00941194" w:rsidP="00B85A16"/>
    <w:p w:rsidR="00BF1C38" w:rsidRDefault="00BF1C38" w:rsidP="00B85A16"/>
    <w:bookmarkStart w:id="18" w:name="_MON_1473681726"/>
    <w:bookmarkEnd w:id="18"/>
    <w:p w:rsidR="00BF1C38" w:rsidRDefault="00B71876" w:rsidP="00BF1C38">
      <w:pPr>
        <w:keepNext/>
      </w:pPr>
      <w:r>
        <w:object w:dxaOrig="9607" w:dyaOrig="5402">
          <v:shape id="_x0000_i1028" type="#_x0000_t75" style="width:482.5pt;height:274.05pt" o:ole="">
            <v:imagedata r:id="rId26" o:title=""/>
          </v:shape>
          <o:OLEObject Type="Embed" ProgID="PowerPoint.Slide.12" ShapeID="_x0000_i1028" DrawAspect="Content" ObjectID="_1484073979" r:id="rId27"/>
        </w:object>
      </w:r>
    </w:p>
    <w:p w:rsidR="00BF1C38" w:rsidRDefault="00BF1C38" w:rsidP="00BF1C38">
      <w:pPr>
        <w:pStyle w:val="Bildetekst"/>
      </w:pPr>
      <w:r>
        <w:t xml:space="preserve">Figur </w:t>
      </w:r>
      <w:r w:rsidR="004B3D9E">
        <w:fldChar w:fldCharType="begin"/>
      </w:r>
      <w:r>
        <w:instrText xml:space="preserve"> SEQ Figur \* ARABIC </w:instrText>
      </w:r>
      <w:r w:rsidR="004B3D9E">
        <w:fldChar w:fldCharType="separate"/>
      </w:r>
      <w:r w:rsidR="00CD5BFF">
        <w:rPr>
          <w:noProof/>
        </w:rPr>
        <w:t>8</w:t>
      </w:r>
      <w:r w:rsidR="004B3D9E">
        <w:fldChar w:fldCharType="end"/>
      </w:r>
      <w:r>
        <w:t>:</w:t>
      </w:r>
      <w:r w:rsidR="001B70CF">
        <w:t xml:space="preserve"> Attraktivitetsmodellen</w:t>
      </w:r>
    </w:p>
    <w:p w:rsidR="00BF1C38" w:rsidRDefault="001B70CF" w:rsidP="00B85A16">
      <w:r>
        <w:t>Vi skal starte med å beskrive den samlede arbeidsplassutviklingen, for deretter å se på hvordan utviklingen er i privat og offentlig sektor.</w:t>
      </w:r>
    </w:p>
    <w:p w:rsidR="00BF1C38" w:rsidRDefault="00BF1C38" w:rsidP="00B85A16"/>
    <w:p w:rsidR="00BF1C38" w:rsidRDefault="00BF1C38" w:rsidP="00B85A16"/>
    <w:p w:rsidR="00BF1C38" w:rsidRDefault="00BF1C38" w:rsidP="00B85A16"/>
    <w:p w:rsidR="00BF1C38" w:rsidRDefault="00BF1C38" w:rsidP="00B85A16">
      <w:pPr>
        <w:sectPr w:rsidR="00BF1C38" w:rsidSect="00687F25">
          <w:type w:val="continuous"/>
          <w:pgSz w:w="11907" w:h="16840" w:code="9"/>
          <w:pgMar w:top="1440" w:right="1080" w:bottom="1440" w:left="1080" w:header="709" w:footer="709" w:gutter="0"/>
          <w:cols w:space="708"/>
          <w:docGrid w:linePitch="360"/>
        </w:sectPr>
      </w:pPr>
    </w:p>
    <w:p w:rsidR="00BF1C38" w:rsidRDefault="00BF1C38">
      <w:pPr>
        <w:spacing w:after="0" w:line="240" w:lineRule="auto"/>
        <w:rPr>
          <w:rFonts w:eastAsia="Times New Roman"/>
          <w:sz w:val="32"/>
          <w:szCs w:val="20"/>
        </w:rPr>
      </w:pPr>
      <w:r>
        <w:lastRenderedPageBreak/>
        <w:br w:type="page"/>
      </w:r>
    </w:p>
    <w:p w:rsidR="00513154" w:rsidRDefault="00513154" w:rsidP="00513154">
      <w:pPr>
        <w:pStyle w:val="Overskrift2"/>
      </w:pPr>
      <w:bookmarkStart w:id="19" w:name="_Toc400090047"/>
      <w:r>
        <w:lastRenderedPageBreak/>
        <w:t>Antall arbeidsplasser, sysselsetting og indeksert vekst</w:t>
      </w:r>
      <w:bookmarkEnd w:id="19"/>
    </w:p>
    <w:p w:rsidR="007F24AC" w:rsidRDefault="00230EFE" w:rsidP="00B85A16">
      <w:r>
        <w:t>Figur 9 viser den indekserte arbeidsplassveksten i Norge</w:t>
      </w:r>
      <w:r w:rsidR="007F24AC">
        <w:t xml:space="preserve">, </w:t>
      </w:r>
      <w:proofErr w:type="spellStart"/>
      <w:r w:rsidR="00791BE5">
        <w:t>Glåmdal</w:t>
      </w:r>
      <w:proofErr w:type="spellEnd"/>
      <w:r w:rsidR="00791BE5">
        <w:t xml:space="preserve"> og naboregionene </w:t>
      </w:r>
      <w:r>
        <w:t xml:space="preserve">fra 2000 til 2013. </w:t>
      </w:r>
      <w:r w:rsidR="007F24AC">
        <w:t>Alle arbeidsplasser er med, både offentlige og private.</w:t>
      </w:r>
    </w:p>
    <w:p w:rsidR="00941194" w:rsidRDefault="007F24AC" w:rsidP="00B85A16">
      <w:r>
        <w:t>Norge har hatt en vekst på 15,8 prosent siden 2000</w:t>
      </w:r>
      <w:r w:rsidR="00791BE5">
        <w:t>.</w:t>
      </w:r>
    </w:p>
    <w:p w:rsidR="0043008D" w:rsidRDefault="0043008D" w:rsidP="00B85A16">
      <w:r>
        <w:t xml:space="preserve">Øvre Romerike har hatt svær sterk vekst, med en økning i antall arbeidsplasser siden 2000 på over 25 prosent. I </w:t>
      </w:r>
      <w:proofErr w:type="spellStart"/>
      <w:r>
        <w:t>Glåmdal</w:t>
      </w:r>
      <w:proofErr w:type="spellEnd"/>
      <w:r>
        <w:t xml:space="preserve"> </w:t>
      </w:r>
      <w:r w:rsidR="00594551">
        <w:t>har</w:t>
      </w:r>
      <w:r>
        <w:t xml:space="preserve"> det vært en nedgang i antall arbeidsplasser siden 2000 på 1,9 prosent. </w:t>
      </w:r>
      <w:r w:rsidR="00594551">
        <w:t>D</w:t>
      </w:r>
      <w:r>
        <w:t>et er spesielt etter 2008 at utviklingen har vært dårlig.</w:t>
      </w:r>
    </w:p>
    <w:p w:rsidR="0043008D" w:rsidRDefault="0043008D" w:rsidP="00B85A16">
      <w:r>
        <w:t>Det er klart at det er en sammenheng mellom befolknings- og arbeidsplassutviklingen i regionene. Senere i rapporten skal vi analysere denne sammenhengen i mer detalj.</w:t>
      </w:r>
    </w:p>
    <w:p w:rsidR="007F24AC" w:rsidRDefault="007F24AC" w:rsidP="00B85A16">
      <w:r>
        <w:t>I figur 10 ser vi utviklingen i antall arbeidsplasser i privat og offentlig sektor.</w:t>
      </w:r>
    </w:p>
    <w:p w:rsidR="007F24AC" w:rsidRDefault="007F24AC" w:rsidP="00B85A16">
      <w:r>
        <w:t xml:space="preserve">Antall arbeidsplasser i offentlig sektor har økt fra </w:t>
      </w:r>
      <w:r w:rsidR="00E70D6C">
        <w:t>7 </w:t>
      </w:r>
      <w:r w:rsidR="0043008D">
        <w:t>294</w:t>
      </w:r>
      <w:r>
        <w:t xml:space="preserve"> i 2000 til </w:t>
      </w:r>
      <w:r w:rsidR="00770761">
        <w:t>7 </w:t>
      </w:r>
      <w:r w:rsidR="0043008D">
        <w:t>583</w:t>
      </w:r>
      <w:r>
        <w:t xml:space="preserve"> i 2014. </w:t>
      </w:r>
    </w:p>
    <w:p w:rsidR="0043008D" w:rsidRDefault="007F24AC" w:rsidP="00B85A16">
      <w:r>
        <w:t xml:space="preserve">Det er den negative utviklingen i næringslivet som har gjort at antall arbeidsplasser har sunket. Det var </w:t>
      </w:r>
      <w:r w:rsidR="0043008D">
        <w:t>13 577</w:t>
      </w:r>
      <w:r>
        <w:t xml:space="preserve"> arbeidsplasser i næringslivet i regionen i 2000. I slutten av 2013 hadde antall arbeidsplasser i næringslivet sunket til </w:t>
      </w:r>
      <w:r w:rsidR="0043008D">
        <w:t>12 882</w:t>
      </w:r>
      <w:r>
        <w:t xml:space="preserve">. </w:t>
      </w:r>
      <w:r w:rsidR="0043008D">
        <w:t>Nedgangen i næringslivet har kommet etter 2008.</w:t>
      </w:r>
    </w:p>
    <w:p w:rsidR="007F24AC" w:rsidRDefault="007F24AC" w:rsidP="00B85A16">
      <w:r>
        <w:t xml:space="preserve">Hvis vi gjør et tankeeksperiment, og forestiller oss at </w:t>
      </w:r>
      <w:proofErr w:type="spellStart"/>
      <w:r w:rsidR="0043008D">
        <w:t>Glåmdal</w:t>
      </w:r>
      <w:proofErr w:type="spellEnd"/>
      <w:r w:rsidR="0043008D">
        <w:t xml:space="preserve"> </w:t>
      </w:r>
      <w:r>
        <w:t xml:space="preserve">hadde hatt samme vekst i antall arbeidsplasser som i resten av landet, ville det innebære at det var </w:t>
      </w:r>
      <w:r w:rsidR="00632589">
        <w:t>24 168</w:t>
      </w:r>
      <w:r>
        <w:t xml:space="preserve"> arbeidsplasser i dag</w:t>
      </w:r>
      <w:r w:rsidR="005D2FA5">
        <w:t xml:space="preserve">. I figur 10 ser vi at det var </w:t>
      </w:r>
      <w:r w:rsidR="00632589">
        <w:t>20 465</w:t>
      </w:r>
      <w:r>
        <w:t xml:space="preserve">. Differansen er på </w:t>
      </w:r>
      <w:r w:rsidR="00632589">
        <w:t>over</w:t>
      </w:r>
      <w:r w:rsidR="005D2FA5">
        <w:t xml:space="preserve"> </w:t>
      </w:r>
      <w:r w:rsidR="00632589">
        <w:t>3 700</w:t>
      </w:r>
      <w:r>
        <w:t xml:space="preserve"> arbeidsplasser. Det er dermed ikke overraskende at flyttetallene for </w:t>
      </w:r>
      <w:proofErr w:type="spellStart"/>
      <w:r w:rsidR="00632589">
        <w:t>Glåmdal</w:t>
      </w:r>
      <w:proofErr w:type="spellEnd"/>
      <w:r w:rsidR="00632589">
        <w:t xml:space="preserve"> </w:t>
      </w:r>
      <w:r>
        <w:t>har vært svake i denne perioden. Senere i dette notatet skal vi analysere om arbeidsplassnedgangen er hele årsaken til de svake flyttetallene, eller om der også er andre drivkrefter som har bidratt positivt eller negativt.</w:t>
      </w:r>
    </w:p>
    <w:p w:rsidR="00941194" w:rsidRDefault="00941194" w:rsidP="00B85A16"/>
    <w:p w:rsidR="007F24AC" w:rsidRDefault="00941194" w:rsidP="007F24AC">
      <w:pPr>
        <w:pStyle w:val="Bildetekst"/>
        <w:keepNext/>
      </w:pPr>
      <w:r>
        <w:br w:type="column"/>
      </w:r>
    </w:p>
    <w:p w:rsidR="00350032" w:rsidRDefault="00350032" w:rsidP="00350032"/>
    <w:p w:rsidR="007F24AC" w:rsidRDefault="00791BE5" w:rsidP="00856120">
      <w:pPr>
        <w:pStyle w:val="Bildetekst"/>
      </w:pPr>
      <w:r>
        <w:rPr>
          <w:noProof/>
          <w:lang w:eastAsia="nb-NO"/>
        </w:rPr>
        <w:drawing>
          <wp:inline distT="0" distB="0" distL="0" distR="0">
            <wp:extent cx="3057525" cy="3238500"/>
            <wp:effectExtent l="0" t="0" r="0" b="0"/>
            <wp:docPr id="61" name="Diagram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r w:rsidR="00350032">
        <w:t xml:space="preserve">Figur </w:t>
      </w:r>
      <w:r w:rsidR="004B3D9E">
        <w:fldChar w:fldCharType="begin"/>
      </w:r>
      <w:r w:rsidR="00350032">
        <w:instrText xml:space="preserve"> SEQ Figur \* ARABIC </w:instrText>
      </w:r>
      <w:r w:rsidR="004B3D9E">
        <w:fldChar w:fldCharType="separate"/>
      </w:r>
      <w:r w:rsidR="00CD5BFF">
        <w:rPr>
          <w:noProof/>
        </w:rPr>
        <w:t>9</w:t>
      </w:r>
      <w:r w:rsidR="004B3D9E">
        <w:fldChar w:fldCharType="end"/>
      </w:r>
      <w:r w:rsidR="00350032">
        <w:t xml:space="preserve">: Indeksert arbeidsplassvekst, alle sektorer, i </w:t>
      </w:r>
      <w:r w:rsidR="0066057D">
        <w:t xml:space="preserve">regionene </w:t>
      </w:r>
      <w:r w:rsidR="00350032">
        <w:t>og Norge fra 2000 til 2014.</w:t>
      </w:r>
    </w:p>
    <w:p w:rsidR="007F24AC" w:rsidRDefault="00350032" w:rsidP="007F24AC">
      <w:pPr>
        <w:pStyle w:val="Bildetekst"/>
        <w:keepNext/>
      </w:pPr>
      <w:r>
        <w:t xml:space="preserve"> </w:t>
      </w:r>
    </w:p>
    <w:p w:rsidR="007F24AC" w:rsidRDefault="00791BE5" w:rsidP="007F24AC">
      <w:pPr>
        <w:pStyle w:val="Bildetekst"/>
      </w:pPr>
      <w:r>
        <w:rPr>
          <w:noProof/>
          <w:lang w:eastAsia="nb-NO"/>
        </w:rPr>
        <w:drawing>
          <wp:inline distT="0" distB="0" distL="0" distR="0">
            <wp:extent cx="2869565" cy="2550795"/>
            <wp:effectExtent l="0" t="0" r="6985" b="1905"/>
            <wp:docPr id="56" name="Diagram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t xml:space="preserve"> </w:t>
      </w:r>
      <w:r w:rsidR="007F24AC">
        <w:t xml:space="preserve">Figur </w:t>
      </w:r>
      <w:r w:rsidR="004B3D9E">
        <w:fldChar w:fldCharType="begin"/>
      </w:r>
      <w:r w:rsidR="007F24AC">
        <w:instrText xml:space="preserve"> SEQ Figur \* ARABIC </w:instrText>
      </w:r>
      <w:r w:rsidR="004B3D9E">
        <w:fldChar w:fldCharType="separate"/>
      </w:r>
      <w:r w:rsidR="00CD5BFF">
        <w:rPr>
          <w:noProof/>
        </w:rPr>
        <w:t>10</w:t>
      </w:r>
      <w:r w:rsidR="004B3D9E">
        <w:fldChar w:fldCharType="end"/>
      </w:r>
      <w:r w:rsidR="007F24AC">
        <w:t xml:space="preserve">: </w:t>
      </w:r>
      <w:r w:rsidR="007F24AC" w:rsidRPr="007657F9">
        <w:t xml:space="preserve">Antall arbeidsplasser i offentlig og privat sektor i </w:t>
      </w:r>
      <w:proofErr w:type="spellStart"/>
      <w:r>
        <w:t>Glåmdal</w:t>
      </w:r>
      <w:proofErr w:type="spellEnd"/>
      <w:r>
        <w:t xml:space="preserve"> </w:t>
      </w:r>
      <w:r w:rsidR="007F24AC" w:rsidRPr="007657F9">
        <w:t>fra 2000 til 2013.</w:t>
      </w:r>
    </w:p>
    <w:p w:rsidR="009F7A6F" w:rsidRDefault="009F7A6F" w:rsidP="00856120">
      <w:pPr>
        <w:pStyle w:val="Bildetekst"/>
      </w:pPr>
      <w:r>
        <w:br w:type="page"/>
      </w:r>
    </w:p>
    <w:p w:rsidR="00350032" w:rsidRDefault="00350032">
      <w:pPr>
        <w:spacing w:after="0" w:line="240" w:lineRule="auto"/>
        <w:sectPr w:rsidR="00350032" w:rsidSect="00687F25">
          <w:type w:val="continuous"/>
          <w:pgSz w:w="11907" w:h="16840" w:code="9"/>
          <w:pgMar w:top="1440" w:right="1080" w:bottom="1440" w:left="1080" w:header="709" w:footer="709" w:gutter="0"/>
          <w:cols w:num="2" w:space="708"/>
          <w:docGrid w:linePitch="360"/>
        </w:sectPr>
      </w:pPr>
    </w:p>
    <w:p w:rsidR="008F2177" w:rsidRPr="009F7A6F" w:rsidRDefault="009F7A6F" w:rsidP="009F7A6F">
      <w:pPr>
        <w:pStyle w:val="Overskrift2"/>
      </w:pPr>
      <w:bookmarkStart w:id="20" w:name="_Toc400090048"/>
      <w:r>
        <w:lastRenderedPageBreak/>
        <w:t>Arbeidsplasser i offentlig og privat sektor</w:t>
      </w:r>
      <w:bookmarkEnd w:id="20"/>
    </w:p>
    <w:p w:rsidR="007F24AC" w:rsidRDefault="00E4199B" w:rsidP="005D7118">
      <w:r>
        <w:t>Figuren til høyre viser den indekserte arbeidsplassutviklingen</w:t>
      </w:r>
      <w:r w:rsidR="005D7118">
        <w:t xml:space="preserve"> i privat og offentlig sektor</w:t>
      </w:r>
      <w:r>
        <w:t xml:space="preserve"> i </w:t>
      </w:r>
      <w:proofErr w:type="spellStart"/>
      <w:r w:rsidR="00791BE5">
        <w:t>Glåmdal</w:t>
      </w:r>
      <w:proofErr w:type="spellEnd"/>
      <w:r>
        <w:t xml:space="preserve"> og i Norge fra 2000 til 2013. </w:t>
      </w:r>
    </w:p>
    <w:p w:rsidR="007F24AC" w:rsidRDefault="00E4199B" w:rsidP="009F7A6F">
      <w:r>
        <w:t xml:space="preserve">Antall arbeidsplasser i privat sektor i </w:t>
      </w:r>
      <w:proofErr w:type="spellStart"/>
      <w:r w:rsidR="00632589">
        <w:t>Glåmdal</w:t>
      </w:r>
      <w:proofErr w:type="spellEnd"/>
      <w:r w:rsidR="00632589">
        <w:t xml:space="preserve"> </w:t>
      </w:r>
      <w:r>
        <w:t xml:space="preserve">har </w:t>
      </w:r>
      <w:r w:rsidR="007F24AC">
        <w:t>sunket</w:t>
      </w:r>
      <w:r>
        <w:t xml:space="preserve"> med </w:t>
      </w:r>
      <w:r w:rsidR="00632589">
        <w:t>5,1</w:t>
      </w:r>
      <w:r>
        <w:t xml:space="preserve"> prosent fra 2000 til 2013. </w:t>
      </w:r>
      <w:r w:rsidR="006153B1">
        <w:t>P</w:t>
      </w:r>
      <w:r w:rsidR="007F24AC">
        <w:t>å samme tid har det vært en vekst i antall arbeidsplasser i næringslivet i Norge på 14,6 prosent.</w:t>
      </w:r>
      <w:r w:rsidR="006153B1">
        <w:t xml:space="preserve"> </w:t>
      </w:r>
    </w:p>
    <w:p w:rsidR="007F24AC" w:rsidRDefault="007F24AC" w:rsidP="009F7A6F">
      <w:r>
        <w:t xml:space="preserve">Vi så på forrige side at det hadde vært en vekst i antall arbeidsplasser i offentlig sektor i </w:t>
      </w:r>
      <w:proofErr w:type="spellStart"/>
      <w:r w:rsidR="00632589">
        <w:t>Glåmdal</w:t>
      </w:r>
      <w:proofErr w:type="spellEnd"/>
      <w:r>
        <w:t xml:space="preserve">. Når vi ser denne grafen, ser vi at denne veksten har vært på </w:t>
      </w:r>
      <w:r w:rsidR="00632589">
        <w:t>4,0</w:t>
      </w:r>
      <w:r>
        <w:t xml:space="preserve"> prosent. Det er langt lavere enn veksten i offentlig sektor på landsbasis, som var 18,5 prosent i den samme perioden</w:t>
      </w:r>
      <w:r w:rsidR="00E4199B">
        <w:t>.</w:t>
      </w:r>
    </w:p>
    <w:p w:rsidR="00632589" w:rsidRDefault="00632589" w:rsidP="009F7A6F"/>
    <w:p w:rsidR="00632589" w:rsidRDefault="00632589" w:rsidP="009F7A6F">
      <w:r>
        <w:t xml:space="preserve">I figur 12 ser vi arbeidsplassutviklingen i </w:t>
      </w:r>
      <w:r w:rsidR="00F420C1">
        <w:t>næringslivet</w:t>
      </w:r>
      <w:r>
        <w:t xml:space="preserve"> i </w:t>
      </w:r>
      <w:proofErr w:type="spellStart"/>
      <w:r>
        <w:t>Glåmdal</w:t>
      </w:r>
      <w:proofErr w:type="spellEnd"/>
      <w:r>
        <w:t xml:space="preserve"> og naboregioner indeksert. </w:t>
      </w:r>
    </w:p>
    <w:p w:rsidR="00632589" w:rsidRDefault="00632589" w:rsidP="009F7A6F">
      <w:r>
        <w:t xml:space="preserve">Vi kan se at også Indre Østfold og Hamarregionen har færre arbeidsplasser i næringslivet i 2013 enn i 2008. Nedgangen i </w:t>
      </w:r>
      <w:proofErr w:type="spellStart"/>
      <w:r>
        <w:t>Glåmdal</w:t>
      </w:r>
      <w:proofErr w:type="spellEnd"/>
      <w:r>
        <w:t xml:space="preserve"> har imidlertid vært sterkere.</w:t>
      </w:r>
    </w:p>
    <w:p w:rsidR="007F24AC" w:rsidRDefault="007F24AC" w:rsidP="009F7A6F"/>
    <w:p w:rsidR="00E4199B" w:rsidRDefault="00E4199B" w:rsidP="009F7A6F">
      <w:r>
        <w:t xml:space="preserve"> </w:t>
      </w:r>
    </w:p>
    <w:p w:rsidR="008F2177" w:rsidRDefault="008F2177" w:rsidP="007F24AC">
      <w:r>
        <w:rPr>
          <w:highlight w:val="lightGray"/>
        </w:rPr>
        <w:br w:type="column"/>
      </w:r>
      <w:r w:rsidR="00D02D58">
        <w:lastRenderedPageBreak/>
        <w:t xml:space="preserve"> </w:t>
      </w:r>
    </w:p>
    <w:p w:rsidR="00E25400" w:rsidRPr="00E25400" w:rsidRDefault="00E25400" w:rsidP="00E25400"/>
    <w:p w:rsidR="005339A4" w:rsidRDefault="005339A4" w:rsidP="005339A4">
      <w:pPr>
        <w:rPr>
          <w:highlight w:val="lightGray"/>
        </w:rPr>
      </w:pPr>
    </w:p>
    <w:p w:rsidR="002623B6" w:rsidRPr="002623B6" w:rsidRDefault="00791BE5" w:rsidP="002623B6">
      <w:pPr>
        <w:pStyle w:val="Bildetekst"/>
      </w:pPr>
      <w:r>
        <w:rPr>
          <w:noProof/>
          <w:lang w:eastAsia="nb-NO"/>
        </w:rPr>
        <w:drawing>
          <wp:inline distT="0" distB="0" distL="0" distR="0">
            <wp:extent cx="3028950" cy="3448050"/>
            <wp:effectExtent l="0" t="0" r="0" b="0"/>
            <wp:docPr id="62" name="Diagram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 xml:space="preserve"> </w:t>
      </w:r>
      <w:r w:rsidR="005339A4">
        <w:t xml:space="preserve">Figur </w:t>
      </w:r>
      <w:r w:rsidR="004B3D9E">
        <w:fldChar w:fldCharType="begin"/>
      </w:r>
      <w:r w:rsidR="005339A4">
        <w:instrText xml:space="preserve"> SEQ Figur \* ARABIC </w:instrText>
      </w:r>
      <w:r w:rsidR="004B3D9E">
        <w:fldChar w:fldCharType="separate"/>
      </w:r>
      <w:r w:rsidR="00CD5BFF">
        <w:rPr>
          <w:noProof/>
        </w:rPr>
        <w:t>11</w:t>
      </w:r>
      <w:r w:rsidR="004B3D9E">
        <w:fldChar w:fldCharType="end"/>
      </w:r>
      <w:r w:rsidR="005339A4">
        <w:t xml:space="preserve">: </w:t>
      </w:r>
      <w:r w:rsidR="00E25400">
        <w:t>Indeksert vekst i antall arbeidsplasser i offentlig og privat sektor i</w:t>
      </w:r>
      <w:r w:rsidR="007F24AC">
        <w:t xml:space="preserve"> </w:t>
      </w:r>
      <w:proofErr w:type="spellStart"/>
      <w:r>
        <w:t>Glåmdal</w:t>
      </w:r>
      <w:proofErr w:type="spellEnd"/>
      <w:r w:rsidR="00E25400">
        <w:t xml:space="preserve"> og Norge, fra 2000 til 2013. </w:t>
      </w:r>
    </w:p>
    <w:p w:rsidR="002623B6" w:rsidRDefault="002623B6" w:rsidP="002623B6">
      <w:pPr>
        <w:rPr>
          <w:highlight w:val="lightGray"/>
        </w:rPr>
      </w:pPr>
    </w:p>
    <w:p w:rsidR="002623B6" w:rsidRDefault="002623B6" w:rsidP="002623B6">
      <w:pPr>
        <w:keepNext/>
      </w:pPr>
      <w:r>
        <w:rPr>
          <w:noProof/>
          <w:lang w:eastAsia="nb-NO"/>
        </w:rPr>
        <w:drawing>
          <wp:inline distT="0" distB="0" distL="0" distR="0">
            <wp:extent cx="2987040" cy="2827020"/>
            <wp:effectExtent l="0" t="0" r="3810" b="0"/>
            <wp:docPr id="63" name="Diagram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623B6" w:rsidRPr="002623B6" w:rsidRDefault="002623B6" w:rsidP="002623B6">
      <w:pPr>
        <w:pStyle w:val="Bildetekst"/>
        <w:rPr>
          <w:highlight w:val="lightGray"/>
        </w:rPr>
        <w:sectPr w:rsidR="002623B6" w:rsidRPr="002623B6" w:rsidSect="00687F25">
          <w:type w:val="continuous"/>
          <w:pgSz w:w="11907" w:h="16840" w:code="9"/>
          <w:pgMar w:top="1440" w:right="1080" w:bottom="1440" w:left="1080" w:header="709" w:footer="709" w:gutter="0"/>
          <w:cols w:num="2" w:space="569"/>
          <w:docGrid w:linePitch="360"/>
        </w:sectPr>
      </w:pPr>
      <w:r>
        <w:t xml:space="preserve">Figur </w:t>
      </w:r>
      <w:r w:rsidR="004B3D9E">
        <w:fldChar w:fldCharType="begin"/>
      </w:r>
      <w:r>
        <w:instrText xml:space="preserve"> SEQ Figur \* ARABIC </w:instrText>
      </w:r>
      <w:r w:rsidR="004B3D9E">
        <w:fldChar w:fldCharType="separate"/>
      </w:r>
      <w:r w:rsidR="00CD5BFF">
        <w:rPr>
          <w:noProof/>
        </w:rPr>
        <w:t>12</w:t>
      </w:r>
      <w:r w:rsidR="004B3D9E">
        <w:fldChar w:fldCharType="end"/>
      </w:r>
      <w:r>
        <w:t>: Indeksert arbeidsplassutvikling i næringslivet.</w:t>
      </w:r>
    </w:p>
    <w:p w:rsidR="00B71876" w:rsidRPr="00B71876" w:rsidRDefault="00B71876" w:rsidP="00B71876">
      <w:pPr>
        <w:sectPr w:rsidR="00B71876" w:rsidRPr="00B71876" w:rsidSect="00687F25">
          <w:type w:val="continuous"/>
          <w:pgSz w:w="11907" w:h="16840" w:code="9"/>
          <w:pgMar w:top="1440" w:right="1080" w:bottom="1440" w:left="1080" w:header="709" w:footer="709" w:gutter="0"/>
          <w:cols w:num="2" w:space="708"/>
          <w:docGrid w:linePitch="360"/>
        </w:sectPr>
      </w:pPr>
    </w:p>
    <w:p w:rsidR="008F2177" w:rsidRDefault="00550168" w:rsidP="00AC6AE9">
      <w:pPr>
        <w:pStyle w:val="Overskrift2"/>
        <w:spacing w:before="120" w:after="120"/>
      </w:pPr>
      <w:bookmarkStart w:id="21" w:name="_Toc400090049"/>
      <w:r>
        <w:lastRenderedPageBreak/>
        <w:t>N</w:t>
      </w:r>
      <w:r w:rsidR="00F26359">
        <w:t>æringstyper</w:t>
      </w:r>
      <w:bookmarkEnd w:id="21"/>
      <w:r w:rsidR="00F26359">
        <w:t xml:space="preserve"> </w:t>
      </w:r>
    </w:p>
    <w:p w:rsidR="00B71876" w:rsidRDefault="00B71876" w:rsidP="005D7118">
      <w:pPr>
        <w:pStyle w:val="Ingress"/>
        <w:ind w:left="0" w:right="-34"/>
      </w:pPr>
      <w:r>
        <w:t>Vi har nå beskrevet utviklingen i antall arbeidsplasser i næringslivet. Det er utviklingen i næringslivet vi ønsker å analysere og forstå. Det er fordi det først og fremst er næringsutviklingen som er i fokus når en ønsker å stimulere til vekst.</w:t>
      </w:r>
    </w:p>
    <w:bookmarkStart w:id="22" w:name="_MON_1473699092"/>
    <w:bookmarkEnd w:id="22"/>
    <w:p w:rsidR="00B71876" w:rsidRDefault="00AC6AE9" w:rsidP="00AC6AE9">
      <w:pPr>
        <w:keepNext/>
        <w:jc w:val="center"/>
      </w:pPr>
      <w:r>
        <w:object w:dxaOrig="9698" w:dyaOrig="5453">
          <v:shape id="_x0000_i1029" type="#_x0000_t75" style="width:439.5pt;height:244.5pt" o:ole="">
            <v:imagedata r:id="rId32" o:title=""/>
          </v:shape>
          <o:OLEObject Type="Embed" ProgID="PowerPoint.Slide.12" ShapeID="_x0000_i1029" DrawAspect="Content" ObjectID="_1484073980" r:id="rId33"/>
        </w:object>
      </w:r>
    </w:p>
    <w:p w:rsidR="00B71876" w:rsidRDefault="00B71876" w:rsidP="00B71876">
      <w:pPr>
        <w:pStyle w:val="Bildetekst"/>
      </w:pPr>
      <w:r>
        <w:t xml:space="preserve">Figur </w:t>
      </w:r>
      <w:r w:rsidR="004B3D9E">
        <w:fldChar w:fldCharType="begin"/>
      </w:r>
      <w:r>
        <w:instrText xml:space="preserve"> SEQ Figur \* ARABIC </w:instrText>
      </w:r>
      <w:r w:rsidR="004B3D9E">
        <w:fldChar w:fldCharType="separate"/>
      </w:r>
      <w:r w:rsidR="00CD5BFF">
        <w:rPr>
          <w:noProof/>
        </w:rPr>
        <w:t>13</w:t>
      </w:r>
      <w:r w:rsidR="004B3D9E">
        <w:fldChar w:fldCharType="end"/>
      </w:r>
      <w:r>
        <w:t>: Attraktivitetsmodellen. Privat sektor deles inn i fire næringstyper: Lokale næringer, basisnæringer, regionale næringer og besøksnæringer</w:t>
      </w:r>
    </w:p>
    <w:p w:rsidR="00B71876" w:rsidRDefault="00B71876" w:rsidP="00B71876">
      <w:r>
        <w:t>Det finnes mange forskjellige bransjeinndelinger</w:t>
      </w:r>
      <w:r w:rsidR="005D7118">
        <w:rPr>
          <w:rStyle w:val="Sluttnotereferanse"/>
        </w:rPr>
        <w:endnoteReference w:id="1"/>
      </w:r>
      <w:r>
        <w:t>. For vårt formål har vi del opp næringslivet i fire strategiske næringstyper.</w:t>
      </w:r>
    </w:p>
    <w:p w:rsidR="005D7118" w:rsidRDefault="005954F0" w:rsidP="005954F0">
      <w:r w:rsidRPr="00D81BC2">
        <w:rPr>
          <w:i/>
        </w:rPr>
        <w:t>Basisnæringer</w:t>
      </w:r>
      <w:r>
        <w:t xml:space="preserve"> er næringsliv som konkurrerer på et nasjonalt eller internasjonalt marked. Basisnæringene produserer varer eller tjenester på et sted, som selges og konsumeres hovedsakelig utenfor stedet der produksjonen foregår. Primærnæringer som landbruk og gruver og industri, tilhører basisnæringene. Samtidig er det en del tjenesteproduksjon som også defineres som basisnæringer. Dette er tjenester som IT, </w:t>
      </w:r>
      <w:proofErr w:type="spellStart"/>
      <w:r>
        <w:t>tel</w:t>
      </w:r>
      <w:r w:rsidR="000A0DD8">
        <w:t>ekom</w:t>
      </w:r>
      <w:proofErr w:type="spellEnd"/>
      <w:r w:rsidR="000A0DD8">
        <w:t xml:space="preserve"> og teknologiske tjenester. Basisnæringene regnes ofte som «motoren» i økonomien. Det er ut ifra basisnæringene mye annen næringsvirksomhet blir skapt. </w:t>
      </w:r>
    </w:p>
    <w:p w:rsidR="005954F0" w:rsidRDefault="005954F0" w:rsidP="005954F0">
      <w:r w:rsidRPr="00D81BC2">
        <w:rPr>
          <w:i/>
        </w:rPr>
        <w:t>Besøksnæringer</w:t>
      </w:r>
      <w:r>
        <w:t xml:space="preserve"> er næringsliv som kjennetegnes av at kunden må være personlig til stede. Besøksnæringene inkluderer all turisme, men også butikkhandel og en del personlige tjenester. </w:t>
      </w:r>
      <w:r w:rsidR="005D7118">
        <w:t>S</w:t>
      </w:r>
      <w:r w:rsidR="00BF1B9D">
        <w:t xml:space="preserve">tedets egne innbyggere </w:t>
      </w:r>
      <w:r w:rsidR="005D7118">
        <w:t xml:space="preserve">og besøkende </w:t>
      </w:r>
      <w:r w:rsidR="00BF1B9D">
        <w:t xml:space="preserve">er kunder hos besøksnæringene. </w:t>
      </w:r>
    </w:p>
    <w:p w:rsidR="005954F0" w:rsidRDefault="005954F0" w:rsidP="005954F0">
      <w:r>
        <w:t xml:space="preserve">De </w:t>
      </w:r>
      <w:r w:rsidRPr="00D81BC2">
        <w:rPr>
          <w:i/>
        </w:rPr>
        <w:t>regionale</w:t>
      </w:r>
      <w:r>
        <w:t xml:space="preserve"> næringene består av bransjer som både har annet næringsliv og offentlige institusjoner og befolkningen som kunder, og som hovedsakelig retter seg mot et regionalt marked. Det er bransjer som bygg og anlegg, transport og forretningsmessig tjenesteyting. Vi finner ofte en konsentrasjon av de regionale næringene i byer og sentra.</w:t>
      </w:r>
      <w:r w:rsidR="00BF1B9D">
        <w:t xml:space="preserve"> Det er en sammensatt næringstype, og vi antar at det er ulike drivere for vekst</w:t>
      </w:r>
      <w:r w:rsidR="001D7BFA">
        <w:t xml:space="preserve"> i de regionale næringene</w:t>
      </w:r>
      <w:r w:rsidR="00BF1B9D">
        <w:t>.</w:t>
      </w:r>
      <w:r w:rsidR="001D7BFA">
        <w:t xml:space="preserve"> </w:t>
      </w:r>
    </w:p>
    <w:p w:rsidR="00AC6AE9" w:rsidRDefault="005954F0" w:rsidP="00AC6AE9">
      <w:pPr>
        <w:sectPr w:rsidR="00AC6AE9" w:rsidSect="00687F25">
          <w:type w:val="continuous"/>
          <w:pgSz w:w="11907" w:h="16840" w:code="9"/>
          <w:pgMar w:top="1440" w:right="1080" w:bottom="1440" w:left="1080" w:header="709" w:footer="709" w:gutter="0"/>
          <w:cols w:space="708"/>
          <w:docGrid w:linePitch="360"/>
        </w:sectPr>
      </w:pPr>
      <w:r w:rsidRPr="00D81BC2">
        <w:rPr>
          <w:i/>
        </w:rPr>
        <w:t>Lokale næringer</w:t>
      </w:r>
      <w:r>
        <w:t xml:space="preserve"> er næringsliv som leverer tjenester til den lokale befolkningen, og som i stor grad substituerer tjenester fra offentlig sektor. Dette er tjenester som barnehager, skoler, pri</w:t>
      </w:r>
      <w:r w:rsidR="005B0821">
        <w:t xml:space="preserve">mærhelsetjenester og renovasjon. De lokale næringene er som regel substitutter for offentlige tjenester. I analysene fremover vil vi derfor slå kommunal sektor og lokale næringer sammen. </w:t>
      </w:r>
      <w:r w:rsidR="00B71876">
        <w:t xml:space="preserve">Vi ser at lokale næringer har fått en grå farge i diagrammet. </w:t>
      </w:r>
      <w:r w:rsidR="00AC6AE9">
        <w:br w:type="page"/>
      </w:r>
    </w:p>
    <w:p w:rsidR="00AC6AE9" w:rsidRDefault="00AC6AE9" w:rsidP="00AC6AE9">
      <w:pPr>
        <w:pStyle w:val="Overskrift3"/>
      </w:pPr>
      <w:r>
        <w:lastRenderedPageBreak/>
        <w:t>Bransjer</w:t>
      </w:r>
    </w:p>
    <w:p w:rsidR="00A66AD7" w:rsidRDefault="00AC6AE9" w:rsidP="00A66AD7">
      <w:pPr>
        <w:pStyle w:val="Bildetekst"/>
      </w:pPr>
      <w:r>
        <w:t xml:space="preserve">Tabell </w:t>
      </w:r>
      <w:r w:rsidR="004B3D9E">
        <w:fldChar w:fldCharType="begin"/>
      </w:r>
      <w:r>
        <w:instrText xml:space="preserve"> SEQ Tabell \* ARABIC </w:instrText>
      </w:r>
      <w:r w:rsidR="004B3D9E">
        <w:fldChar w:fldCharType="separate"/>
      </w:r>
      <w:r w:rsidR="00CD5BFF">
        <w:rPr>
          <w:noProof/>
        </w:rPr>
        <w:t>1</w:t>
      </w:r>
      <w:r w:rsidR="004B3D9E">
        <w:fldChar w:fldCharType="end"/>
      </w:r>
      <w:r>
        <w:t xml:space="preserve">: Antall arbeidsplasser i de strategiske næringstypene og i de enkelte bransjene i </w:t>
      </w:r>
      <w:proofErr w:type="spellStart"/>
      <w:r>
        <w:t>Glåmdal</w:t>
      </w:r>
      <w:proofErr w:type="spellEnd"/>
    </w:p>
    <w:tbl>
      <w:tblPr>
        <w:tblW w:w="5000" w:type="pct"/>
        <w:tblCellMar>
          <w:left w:w="70" w:type="dxa"/>
          <w:right w:w="70" w:type="dxa"/>
        </w:tblCellMar>
        <w:tblLook w:val="04A0"/>
      </w:tblPr>
      <w:tblGrid>
        <w:gridCol w:w="1549"/>
        <w:gridCol w:w="1681"/>
        <w:gridCol w:w="2205"/>
        <w:gridCol w:w="742"/>
        <w:gridCol w:w="742"/>
        <w:gridCol w:w="742"/>
        <w:gridCol w:w="742"/>
        <w:gridCol w:w="742"/>
        <w:gridCol w:w="742"/>
      </w:tblGrid>
      <w:tr w:rsidR="00A66AD7" w:rsidRPr="00A66AD7" w:rsidTr="00E67423">
        <w:trPr>
          <w:trHeight w:val="255"/>
        </w:trPr>
        <w:tc>
          <w:tcPr>
            <w:tcW w:w="784" w:type="pct"/>
            <w:tcBorders>
              <w:top w:val="nil"/>
              <w:left w:val="nil"/>
              <w:bottom w:val="nil"/>
              <w:right w:val="nil"/>
            </w:tcBorders>
            <w:shd w:val="clear" w:color="4F81BD" w:fill="4F81BD"/>
            <w:noWrap/>
            <w:vAlign w:val="bottom"/>
            <w:hideMark/>
          </w:tcPr>
          <w:p w:rsidR="00A66AD7" w:rsidRPr="00A66AD7" w:rsidRDefault="00A66AD7" w:rsidP="00A66AD7">
            <w:pPr>
              <w:spacing w:after="0" w:line="240" w:lineRule="auto"/>
              <w:rPr>
                <w:rFonts w:ascii="Arial" w:eastAsia="Times New Roman" w:hAnsi="Arial" w:cs="Arial"/>
                <w:b/>
                <w:bCs/>
                <w:color w:val="FFFFFF"/>
                <w:sz w:val="18"/>
                <w:szCs w:val="18"/>
                <w:lang w:eastAsia="nb-NO"/>
              </w:rPr>
            </w:pPr>
            <w:r w:rsidRPr="00A66AD7">
              <w:rPr>
                <w:rFonts w:ascii="Arial" w:eastAsia="Times New Roman" w:hAnsi="Arial" w:cs="Arial"/>
                <w:b/>
                <w:bCs/>
                <w:color w:val="FFFFFF"/>
                <w:sz w:val="18"/>
                <w:szCs w:val="18"/>
                <w:lang w:eastAsia="nb-NO"/>
              </w:rPr>
              <w:t>Næring</w:t>
            </w:r>
          </w:p>
        </w:tc>
        <w:tc>
          <w:tcPr>
            <w:tcW w:w="850" w:type="pct"/>
            <w:tcBorders>
              <w:top w:val="nil"/>
              <w:left w:val="nil"/>
              <w:bottom w:val="nil"/>
              <w:right w:val="nil"/>
            </w:tcBorders>
            <w:shd w:val="clear" w:color="4F81BD" w:fill="4F81BD"/>
            <w:noWrap/>
            <w:vAlign w:val="bottom"/>
            <w:hideMark/>
          </w:tcPr>
          <w:p w:rsidR="00A66AD7" w:rsidRPr="00A66AD7" w:rsidRDefault="00A66AD7" w:rsidP="00A66AD7">
            <w:pPr>
              <w:spacing w:after="0" w:line="240" w:lineRule="auto"/>
              <w:rPr>
                <w:rFonts w:ascii="Arial" w:eastAsia="Times New Roman" w:hAnsi="Arial" w:cs="Arial"/>
                <w:b/>
                <w:bCs/>
                <w:color w:val="FFFFFF"/>
                <w:sz w:val="18"/>
                <w:szCs w:val="18"/>
                <w:lang w:eastAsia="nb-NO"/>
              </w:rPr>
            </w:pPr>
            <w:proofErr w:type="spellStart"/>
            <w:r w:rsidRPr="00A66AD7">
              <w:rPr>
                <w:rFonts w:ascii="Arial" w:eastAsia="Times New Roman" w:hAnsi="Arial" w:cs="Arial"/>
                <w:b/>
                <w:bCs/>
                <w:color w:val="FFFFFF"/>
                <w:sz w:val="18"/>
                <w:szCs w:val="18"/>
                <w:lang w:eastAsia="nb-NO"/>
              </w:rPr>
              <w:t>SubNæring</w:t>
            </w:r>
            <w:proofErr w:type="spellEnd"/>
          </w:p>
        </w:tc>
        <w:tc>
          <w:tcPr>
            <w:tcW w:w="1115" w:type="pct"/>
            <w:tcBorders>
              <w:top w:val="nil"/>
              <w:left w:val="nil"/>
              <w:bottom w:val="nil"/>
              <w:right w:val="nil"/>
            </w:tcBorders>
            <w:shd w:val="clear" w:color="4F81BD" w:fill="4F81BD"/>
            <w:noWrap/>
            <w:vAlign w:val="bottom"/>
            <w:hideMark/>
          </w:tcPr>
          <w:p w:rsidR="00A66AD7" w:rsidRPr="00A66AD7" w:rsidRDefault="00A66AD7" w:rsidP="00A66AD7">
            <w:pPr>
              <w:spacing w:after="0" w:line="240" w:lineRule="auto"/>
              <w:rPr>
                <w:rFonts w:ascii="Arial" w:eastAsia="Times New Roman" w:hAnsi="Arial" w:cs="Arial"/>
                <w:b/>
                <w:bCs/>
                <w:color w:val="FFFFFF"/>
                <w:sz w:val="18"/>
                <w:szCs w:val="18"/>
                <w:lang w:eastAsia="nb-NO"/>
              </w:rPr>
            </w:pPr>
            <w:r w:rsidRPr="00A66AD7">
              <w:rPr>
                <w:rFonts w:ascii="Arial" w:eastAsia="Times New Roman" w:hAnsi="Arial" w:cs="Arial"/>
                <w:b/>
                <w:bCs/>
                <w:color w:val="FFFFFF"/>
                <w:sz w:val="18"/>
                <w:szCs w:val="18"/>
                <w:lang w:eastAsia="nb-NO"/>
              </w:rPr>
              <w:t>Bransje</w:t>
            </w:r>
          </w:p>
        </w:tc>
        <w:tc>
          <w:tcPr>
            <w:tcW w:w="375" w:type="pct"/>
            <w:tcBorders>
              <w:top w:val="single" w:sz="4" w:space="0" w:color="A6A6A6"/>
              <w:left w:val="single" w:sz="4" w:space="0" w:color="A6A6A6"/>
              <w:bottom w:val="single" w:sz="4" w:space="0" w:color="A6A6A6"/>
              <w:right w:val="single" w:sz="4" w:space="0" w:color="A6A6A6"/>
            </w:tcBorders>
            <w:shd w:val="clear" w:color="4F81BD" w:fill="4F81BD"/>
            <w:noWrap/>
            <w:vAlign w:val="bottom"/>
            <w:hideMark/>
          </w:tcPr>
          <w:p w:rsidR="00A66AD7" w:rsidRPr="00A66AD7" w:rsidRDefault="00A66AD7" w:rsidP="00A66AD7">
            <w:pPr>
              <w:spacing w:after="0" w:line="240" w:lineRule="auto"/>
              <w:jc w:val="center"/>
              <w:rPr>
                <w:rFonts w:ascii="Arial" w:eastAsia="Times New Roman" w:hAnsi="Arial" w:cs="Arial"/>
                <w:b/>
                <w:bCs/>
                <w:color w:val="FFFFFF"/>
                <w:sz w:val="18"/>
                <w:szCs w:val="18"/>
                <w:lang w:eastAsia="nb-NO"/>
              </w:rPr>
            </w:pPr>
            <w:r w:rsidRPr="00A66AD7">
              <w:rPr>
                <w:rFonts w:ascii="Arial" w:eastAsia="Times New Roman" w:hAnsi="Arial" w:cs="Arial"/>
                <w:b/>
                <w:bCs/>
                <w:color w:val="FFFFFF"/>
                <w:sz w:val="18"/>
                <w:szCs w:val="18"/>
                <w:lang w:eastAsia="nb-NO"/>
              </w:rPr>
              <w:t>2000</w:t>
            </w:r>
          </w:p>
        </w:tc>
        <w:tc>
          <w:tcPr>
            <w:tcW w:w="375" w:type="pct"/>
            <w:tcBorders>
              <w:top w:val="single" w:sz="4" w:space="0" w:color="A6A6A6"/>
              <w:left w:val="single" w:sz="4" w:space="0" w:color="A6A6A6"/>
              <w:bottom w:val="single" w:sz="4" w:space="0" w:color="A6A6A6"/>
              <w:right w:val="single" w:sz="4" w:space="0" w:color="A6A6A6"/>
            </w:tcBorders>
            <w:shd w:val="clear" w:color="4F81BD" w:fill="4F81BD"/>
            <w:noWrap/>
            <w:vAlign w:val="bottom"/>
            <w:hideMark/>
          </w:tcPr>
          <w:p w:rsidR="00A66AD7" w:rsidRPr="00A66AD7" w:rsidRDefault="00A66AD7" w:rsidP="00A66AD7">
            <w:pPr>
              <w:spacing w:after="0" w:line="240" w:lineRule="auto"/>
              <w:jc w:val="center"/>
              <w:rPr>
                <w:rFonts w:ascii="Arial" w:eastAsia="Times New Roman" w:hAnsi="Arial" w:cs="Arial"/>
                <w:b/>
                <w:bCs/>
                <w:color w:val="FFFFFF"/>
                <w:sz w:val="18"/>
                <w:szCs w:val="18"/>
                <w:lang w:eastAsia="nb-NO"/>
              </w:rPr>
            </w:pPr>
            <w:r w:rsidRPr="00A66AD7">
              <w:rPr>
                <w:rFonts w:ascii="Arial" w:eastAsia="Times New Roman" w:hAnsi="Arial" w:cs="Arial"/>
                <w:b/>
                <w:bCs/>
                <w:color w:val="FFFFFF"/>
                <w:sz w:val="18"/>
                <w:szCs w:val="18"/>
                <w:lang w:eastAsia="nb-NO"/>
              </w:rPr>
              <w:t>2005</w:t>
            </w:r>
          </w:p>
        </w:tc>
        <w:tc>
          <w:tcPr>
            <w:tcW w:w="375" w:type="pct"/>
            <w:tcBorders>
              <w:top w:val="single" w:sz="4" w:space="0" w:color="A6A6A6"/>
              <w:left w:val="single" w:sz="4" w:space="0" w:color="A6A6A6"/>
              <w:bottom w:val="single" w:sz="4" w:space="0" w:color="A6A6A6"/>
              <w:right w:val="single" w:sz="4" w:space="0" w:color="A6A6A6"/>
            </w:tcBorders>
            <w:shd w:val="clear" w:color="4F81BD" w:fill="4F81BD"/>
            <w:noWrap/>
            <w:vAlign w:val="bottom"/>
            <w:hideMark/>
          </w:tcPr>
          <w:p w:rsidR="00A66AD7" w:rsidRPr="00A66AD7" w:rsidRDefault="00A66AD7" w:rsidP="00A66AD7">
            <w:pPr>
              <w:spacing w:after="0" w:line="240" w:lineRule="auto"/>
              <w:jc w:val="center"/>
              <w:rPr>
                <w:rFonts w:ascii="Arial" w:eastAsia="Times New Roman" w:hAnsi="Arial" w:cs="Arial"/>
                <w:b/>
                <w:bCs/>
                <w:color w:val="FFFFFF"/>
                <w:sz w:val="18"/>
                <w:szCs w:val="18"/>
                <w:lang w:eastAsia="nb-NO"/>
              </w:rPr>
            </w:pPr>
            <w:r w:rsidRPr="00A66AD7">
              <w:rPr>
                <w:rFonts w:ascii="Arial" w:eastAsia="Times New Roman" w:hAnsi="Arial" w:cs="Arial"/>
                <w:b/>
                <w:bCs/>
                <w:color w:val="FFFFFF"/>
                <w:sz w:val="18"/>
                <w:szCs w:val="18"/>
                <w:lang w:eastAsia="nb-NO"/>
              </w:rPr>
              <w:t>2008</w:t>
            </w:r>
          </w:p>
        </w:tc>
        <w:tc>
          <w:tcPr>
            <w:tcW w:w="375" w:type="pct"/>
            <w:tcBorders>
              <w:top w:val="single" w:sz="4" w:space="0" w:color="A6A6A6"/>
              <w:left w:val="single" w:sz="4" w:space="0" w:color="A6A6A6"/>
              <w:bottom w:val="single" w:sz="4" w:space="0" w:color="A6A6A6"/>
              <w:right w:val="single" w:sz="4" w:space="0" w:color="A6A6A6"/>
            </w:tcBorders>
            <w:shd w:val="clear" w:color="4F81BD" w:fill="4F81BD"/>
            <w:noWrap/>
            <w:vAlign w:val="bottom"/>
            <w:hideMark/>
          </w:tcPr>
          <w:p w:rsidR="00A66AD7" w:rsidRPr="00A66AD7" w:rsidRDefault="00A66AD7" w:rsidP="00A66AD7">
            <w:pPr>
              <w:spacing w:after="0" w:line="240" w:lineRule="auto"/>
              <w:jc w:val="center"/>
              <w:rPr>
                <w:rFonts w:ascii="Arial" w:eastAsia="Times New Roman" w:hAnsi="Arial" w:cs="Arial"/>
                <w:b/>
                <w:bCs/>
                <w:color w:val="FFFFFF"/>
                <w:sz w:val="18"/>
                <w:szCs w:val="18"/>
                <w:lang w:eastAsia="nb-NO"/>
              </w:rPr>
            </w:pPr>
            <w:r w:rsidRPr="00A66AD7">
              <w:rPr>
                <w:rFonts w:ascii="Arial" w:eastAsia="Times New Roman" w:hAnsi="Arial" w:cs="Arial"/>
                <w:b/>
                <w:bCs/>
                <w:color w:val="FFFFFF"/>
                <w:sz w:val="18"/>
                <w:szCs w:val="18"/>
                <w:lang w:eastAsia="nb-NO"/>
              </w:rPr>
              <w:t>2011</w:t>
            </w:r>
          </w:p>
        </w:tc>
        <w:tc>
          <w:tcPr>
            <w:tcW w:w="375" w:type="pct"/>
            <w:tcBorders>
              <w:top w:val="single" w:sz="4" w:space="0" w:color="A6A6A6"/>
              <w:left w:val="single" w:sz="4" w:space="0" w:color="A6A6A6"/>
              <w:bottom w:val="single" w:sz="4" w:space="0" w:color="A6A6A6"/>
              <w:right w:val="single" w:sz="4" w:space="0" w:color="A6A6A6"/>
            </w:tcBorders>
            <w:shd w:val="clear" w:color="4F81BD" w:fill="4F81BD"/>
            <w:noWrap/>
            <w:vAlign w:val="bottom"/>
            <w:hideMark/>
          </w:tcPr>
          <w:p w:rsidR="00A66AD7" w:rsidRPr="00A66AD7" w:rsidRDefault="00A66AD7" w:rsidP="00A66AD7">
            <w:pPr>
              <w:spacing w:after="0" w:line="240" w:lineRule="auto"/>
              <w:jc w:val="center"/>
              <w:rPr>
                <w:rFonts w:ascii="Arial" w:eastAsia="Times New Roman" w:hAnsi="Arial" w:cs="Arial"/>
                <w:b/>
                <w:bCs/>
                <w:color w:val="FFFFFF"/>
                <w:sz w:val="18"/>
                <w:szCs w:val="18"/>
                <w:lang w:eastAsia="nb-NO"/>
              </w:rPr>
            </w:pPr>
            <w:r w:rsidRPr="00A66AD7">
              <w:rPr>
                <w:rFonts w:ascii="Arial" w:eastAsia="Times New Roman" w:hAnsi="Arial" w:cs="Arial"/>
                <w:b/>
                <w:bCs/>
                <w:color w:val="FFFFFF"/>
                <w:sz w:val="18"/>
                <w:szCs w:val="18"/>
                <w:lang w:eastAsia="nb-NO"/>
              </w:rPr>
              <w:t>2012</w:t>
            </w:r>
          </w:p>
        </w:tc>
        <w:tc>
          <w:tcPr>
            <w:tcW w:w="375" w:type="pct"/>
            <w:tcBorders>
              <w:top w:val="single" w:sz="4" w:space="0" w:color="A6A6A6"/>
              <w:left w:val="single" w:sz="4" w:space="0" w:color="A6A6A6"/>
              <w:bottom w:val="single" w:sz="4" w:space="0" w:color="A6A6A6"/>
              <w:right w:val="single" w:sz="4" w:space="0" w:color="A6A6A6"/>
            </w:tcBorders>
            <w:shd w:val="clear" w:color="4F81BD" w:fill="4F81BD"/>
            <w:noWrap/>
            <w:vAlign w:val="bottom"/>
            <w:hideMark/>
          </w:tcPr>
          <w:p w:rsidR="00A66AD7" w:rsidRPr="00A66AD7" w:rsidRDefault="00A66AD7" w:rsidP="00A66AD7">
            <w:pPr>
              <w:spacing w:after="0" w:line="240" w:lineRule="auto"/>
              <w:jc w:val="center"/>
              <w:rPr>
                <w:rFonts w:ascii="Arial" w:eastAsia="Times New Roman" w:hAnsi="Arial" w:cs="Arial"/>
                <w:b/>
                <w:bCs/>
                <w:color w:val="FFFFFF"/>
                <w:sz w:val="18"/>
                <w:szCs w:val="18"/>
                <w:lang w:eastAsia="nb-NO"/>
              </w:rPr>
            </w:pPr>
            <w:r w:rsidRPr="00A66AD7">
              <w:rPr>
                <w:rFonts w:ascii="Arial" w:eastAsia="Times New Roman" w:hAnsi="Arial" w:cs="Arial"/>
                <w:b/>
                <w:bCs/>
                <w:color w:val="FFFFFF"/>
                <w:sz w:val="18"/>
                <w:szCs w:val="18"/>
                <w:lang w:eastAsia="nb-NO"/>
              </w:rPr>
              <w:t>2013</w:t>
            </w:r>
          </w:p>
        </w:tc>
      </w:tr>
      <w:tr w:rsidR="00E67423" w:rsidRPr="00A66AD7" w:rsidTr="00E67423">
        <w:trPr>
          <w:trHeight w:val="227"/>
        </w:trPr>
        <w:tc>
          <w:tcPr>
            <w:tcW w:w="784" w:type="pct"/>
            <w:vMerge w:val="restart"/>
            <w:tcBorders>
              <w:top w:val="single" w:sz="4" w:space="0" w:color="A6A6A6"/>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Basis</w:t>
            </w:r>
          </w:p>
        </w:tc>
        <w:tc>
          <w:tcPr>
            <w:tcW w:w="850" w:type="pct"/>
            <w:vMerge w:val="restart"/>
            <w:tcBorders>
              <w:top w:val="single" w:sz="4" w:space="0" w:color="A6A6A6"/>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Industri</w:t>
            </w:r>
          </w:p>
        </w:tc>
        <w:tc>
          <w:tcPr>
            <w:tcW w:w="1115" w:type="pct"/>
            <w:tcBorders>
              <w:top w:val="single" w:sz="4" w:space="0" w:color="A6A6A6"/>
              <w:left w:val="nil"/>
              <w:bottom w:val="single" w:sz="4" w:space="0" w:color="A6A6A6"/>
              <w:right w:val="single" w:sz="4" w:space="0" w:color="A6A6A6"/>
            </w:tcBorders>
            <w:shd w:val="clear" w:color="000000" w:fill="FEF2E9"/>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Anna industri</w:t>
            </w:r>
          </w:p>
        </w:tc>
        <w:tc>
          <w:tcPr>
            <w:tcW w:w="375" w:type="pct"/>
            <w:tcBorders>
              <w:top w:val="single" w:sz="4" w:space="0" w:color="A6A6A6"/>
              <w:left w:val="single" w:sz="4" w:space="0" w:color="A6A6A6"/>
              <w:bottom w:val="single" w:sz="4" w:space="0" w:color="A6A6A6"/>
              <w:right w:val="single" w:sz="4" w:space="0" w:color="A6A6A6"/>
            </w:tcBorders>
            <w:shd w:val="clear" w:color="000000" w:fill="81A5D4"/>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1 909</w:t>
            </w:r>
          </w:p>
        </w:tc>
        <w:tc>
          <w:tcPr>
            <w:tcW w:w="375" w:type="pct"/>
            <w:tcBorders>
              <w:top w:val="single" w:sz="4" w:space="0" w:color="A6A6A6"/>
              <w:left w:val="single" w:sz="4" w:space="0" w:color="A6A6A6"/>
              <w:bottom w:val="single" w:sz="4" w:space="0" w:color="A6A6A6"/>
              <w:right w:val="single" w:sz="4" w:space="0" w:color="A6A6A6"/>
            </w:tcBorders>
            <w:shd w:val="clear" w:color="000000" w:fill="B5CAE6"/>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1 294</w:t>
            </w:r>
          </w:p>
        </w:tc>
        <w:tc>
          <w:tcPr>
            <w:tcW w:w="375" w:type="pct"/>
            <w:tcBorders>
              <w:top w:val="single" w:sz="4" w:space="0" w:color="A6A6A6"/>
              <w:left w:val="single" w:sz="4" w:space="0" w:color="A6A6A6"/>
              <w:bottom w:val="single" w:sz="4" w:space="0" w:color="A6A6A6"/>
              <w:right w:val="single" w:sz="4" w:space="0" w:color="A6A6A6"/>
            </w:tcBorders>
            <w:shd w:val="clear" w:color="000000" w:fill="B7CCE7"/>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1 265</w:t>
            </w:r>
          </w:p>
        </w:tc>
        <w:tc>
          <w:tcPr>
            <w:tcW w:w="375" w:type="pct"/>
            <w:tcBorders>
              <w:top w:val="single" w:sz="4" w:space="0" w:color="A6A6A6"/>
              <w:left w:val="single" w:sz="4" w:space="0" w:color="A6A6A6"/>
              <w:bottom w:val="single" w:sz="4" w:space="0" w:color="A6A6A6"/>
              <w:right w:val="single" w:sz="4" w:space="0" w:color="A6A6A6"/>
            </w:tcBorders>
            <w:shd w:val="clear" w:color="000000" w:fill="CAD9EE"/>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1 045</w:t>
            </w:r>
          </w:p>
        </w:tc>
        <w:tc>
          <w:tcPr>
            <w:tcW w:w="375" w:type="pct"/>
            <w:tcBorders>
              <w:top w:val="single" w:sz="4" w:space="0" w:color="A6A6A6"/>
              <w:left w:val="single" w:sz="4" w:space="0" w:color="A6A6A6"/>
              <w:bottom w:val="single" w:sz="4" w:space="0" w:color="A6A6A6"/>
              <w:right w:val="single" w:sz="4" w:space="0" w:color="A6A6A6"/>
            </w:tcBorders>
            <w:shd w:val="clear" w:color="000000" w:fill="CEDCEF"/>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998</w:t>
            </w:r>
          </w:p>
        </w:tc>
        <w:tc>
          <w:tcPr>
            <w:tcW w:w="375" w:type="pct"/>
            <w:tcBorders>
              <w:top w:val="single" w:sz="4" w:space="0" w:color="A6A6A6"/>
              <w:left w:val="single" w:sz="4" w:space="0" w:color="A6A6A6"/>
              <w:bottom w:val="single" w:sz="4" w:space="0" w:color="A6A6A6"/>
              <w:right w:val="single" w:sz="4" w:space="0" w:color="A6A6A6"/>
            </w:tcBorders>
            <w:shd w:val="clear" w:color="000000" w:fill="D0DDF0"/>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980</w:t>
            </w:r>
          </w:p>
        </w:tc>
      </w:tr>
      <w:tr w:rsidR="00E67423" w:rsidRPr="00A66AD7" w:rsidTr="00E67423">
        <w:trPr>
          <w:trHeight w:val="227"/>
        </w:trPr>
        <w:tc>
          <w:tcPr>
            <w:tcW w:w="784"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FEF2E9"/>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Næringsmidler</w:t>
            </w:r>
          </w:p>
        </w:tc>
        <w:tc>
          <w:tcPr>
            <w:tcW w:w="375" w:type="pct"/>
            <w:tcBorders>
              <w:top w:val="single" w:sz="4" w:space="0" w:color="A6A6A6"/>
              <w:left w:val="single" w:sz="4" w:space="0" w:color="A6A6A6"/>
              <w:bottom w:val="single" w:sz="4" w:space="0" w:color="A6A6A6"/>
              <w:right w:val="single" w:sz="4" w:space="0" w:color="A6A6A6"/>
            </w:tcBorders>
            <w:shd w:val="clear" w:color="000000" w:fill="F6F8FD"/>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527</w:t>
            </w:r>
          </w:p>
        </w:tc>
        <w:tc>
          <w:tcPr>
            <w:tcW w:w="375" w:type="pct"/>
            <w:tcBorders>
              <w:top w:val="single" w:sz="4" w:space="0" w:color="A6A6A6"/>
              <w:left w:val="single" w:sz="4" w:space="0" w:color="A6A6A6"/>
              <w:bottom w:val="single" w:sz="4" w:space="0" w:color="A6A6A6"/>
              <w:right w:val="single" w:sz="4" w:space="0" w:color="A6A6A6"/>
            </w:tcBorders>
            <w:shd w:val="clear" w:color="000000" w:fill="FBEDF0"/>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407</w:t>
            </w:r>
          </w:p>
        </w:tc>
        <w:tc>
          <w:tcPr>
            <w:tcW w:w="375" w:type="pct"/>
            <w:tcBorders>
              <w:top w:val="single" w:sz="4" w:space="0" w:color="A6A6A6"/>
              <w:left w:val="single" w:sz="4" w:space="0" w:color="A6A6A6"/>
              <w:bottom w:val="single" w:sz="4" w:space="0" w:color="A6A6A6"/>
              <w:right w:val="single" w:sz="4" w:space="0" w:color="A6A6A6"/>
            </w:tcBorders>
            <w:shd w:val="clear" w:color="000000" w:fill="FBDEE1"/>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360</w:t>
            </w:r>
          </w:p>
        </w:tc>
        <w:tc>
          <w:tcPr>
            <w:tcW w:w="375" w:type="pct"/>
            <w:tcBorders>
              <w:top w:val="single" w:sz="4" w:space="0" w:color="A6A6A6"/>
              <w:left w:val="single" w:sz="4" w:space="0" w:color="A6A6A6"/>
              <w:bottom w:val="single" w:sz="4" w:space="0" w:color="A6A6A6"/>
              <w:right w:val="single" w:sz="4" w:space="0" w:color="A6A6A6"/>
            </w:tcBorders>
            <w:shd w:val="clear" w:color="000000" w:fill="FAD4D6"/>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329</w:t>
            </w:r>
          </w:p>
        </w:tc>
        <w:tc>
          <w:tcPr>
            <w:tcW w:w="375" w:type="pct"/>
            <w:tcBorders>
              <w:top w:val="single" w:sz="4" w:space="0" w:color="A6A6A6"/>
              <w:left w:val="single" w:sz="4" w:space="0" w:color="A6A6A6"/>
              <w:bottom w:val="single" w:sz="4" w:space="0" w:color="A6A6A6"/>
              <w:right w:val="single" w:sz="4" w:space="0" w:color="A6A6A6"/>
            </w:tcBorders>
            <w:shd w:val="clear" w:color="000000" w:fill="FAD4D7"/>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330</w:t>
            </w:r>
          </w:p>
        </w:tc>
        <w:tc>
          <w:tcPr>
            <w:tcW w:w="375" w:type="pct"/>
            <w:tcBorders>
              <w:top w:val="single" w:sz="4" w:space="0" w:color="A6A6A6"/>
              <w:left w:val="single" w:sz="4" w:space="0" w:color="A6A6A6"/>
              <w:bottom w:val="single" w:sz="4" w:space="0" w:color="A6A6A6"/>
              <w:right w:val="single" w:sz="4" w:space="0" w:color="A6A6A6"/>
            </w:tcBorders>
            <w:shd w:val="clear" w:color="000000" w:fill="FACCCF"/>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306</w:t>
            </w:r>
          </w:p>
        </w:tc>
      </w:tr>
      <w:tr w:rsidR="00E67423" w:rsidRPr="00A66AD7" w:rsidTr="00E67423">
        <w:trPr>
          <w:trHeight w:val="227"/>
        </w:trPr>
        <w:tc>
          <w:tcPr>
            <w:tcW w:w="784"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FEF2E9"/>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Olje og gass utvinning</w:t>
            </w:r>
          </w:p>
        </w:tc>
        <w:tc>
          <w:tcPr>
            <w:tcW w:w="375" w:type="pct"/>
            <w:tcBorders>
              <w:top w:val="nil"/>
              <w:left w:val="nil"/>
              <w:bottom w:val="single" w:sz="4" w:space="0" w:color="A6A6A6"/>
              <w:right w:val="single" w:sz="4" w:space="0" w:color="A6A6A6"/>
            </w:tcBorders>
            <w:shd w:val="clear" w:color="auto" w:fill="auto"/>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 </w:t>
            </w:r>
          </w:p>
        </w:tc>
        <w:tc>
          <w:tcPr>
            <w:tcW w:w="375" w:type="pct"/>
            <w:tcBorders>
              <w:top w:val="nil"/>
              <w:left w:val="nil"/>
              <w:bottom w:val="single" w:sz="4" w:space="0" w:color="A6A6A6"/>
              <w:right w:val="single" w:sz="4" w:space="0" w:color="A6A6A6"/>
            </w:tcBorders>
            <w:shd w:val="clear" w:color="auto" w:fill="auto"/>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 </w:t>
            </w:r>
          </w:p>
        </w:tc>
        <w:tc>
          <w:tcPr>
            <w:tcW w:w="375" w:type="pct"/>
            <w:tcBorders>
              <w:top w:val="nil"/>
              <w:left w:val="nil"/>
              <w:bottom w:val="single" w:sz="4" w:space="0" w:color="A6A6A6"/>
              <w:right w:val="single" w:sz="4" w:space="0" w:color="A6A6A6"/>
            </w:tcBorders>
            <w:shd w:val="clear" w:color="auto" w:fill="auto"/>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 </w:t>
            </w:r>
          </w:p>
        </w:tc>
        <w:tc>
          <w:tcPr>
            <w:tcW w:w="375" w:type="pct"/>
            <w:tcBorders>
              <w:top w:val="nil"/>
              <w:left w:val="nil"/>
              <w:bottom w:val="single" w:sz="4" w:space="0" w:color="A6A6A6"/>
              <w:right w:val="single" w:sz="4" w:space="0" w:color="A6A6A6"/>
            </w:tcBorders>
            <w:shd w:val="clear" w:color="auto" w:fill="auto"/>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 </w:t>
            </w:r>
          </w:p>
        </w:tc>
        <w:tc>
          <w:tcPr>
            <w:tcW w:w="375" w:type="pct"/>
            <w:tcBorders>
              <w:top w:val="nil"/>
              <w:left w:val="nil"/>
              <w:bottom w:val="single" w:sz="4" w:space="0" w:color="A6A6A6"/>
              <w:right w:val="single" w:sz="4" w:space="0" w:color="A6A6A6"/>
            </w:tcBorders>
            <w:shd w:val="clear" w:color="auto" w:fill="auto"/>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 </w:t>
            </w:r>
          </w:p>
        </w:tc>
        <w:tc>
          <w:tcPr>
            <w:tcW w:w="375" w:type="pct"/>
            <w:tcBorders>
              <w:top w:val="nil"/>
              <w:left w:val="nil"/>
              <w:bottom w:val="single" w:sz="4" w:space="0" w:color="A6A6A6"/>
              <w:right w:val="single" w:sz="4" w:space="0" w:color="A6A6A6"/>
            </w:tcBorders>
            <w:shd w:val="clear" w:color="auto" w:fill="auto"/>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 </w:t>
            </w:r>
          </w:p>
        </w:tc>
      </w:tr>
      <w:tr w:rsidR="00E67423" w:rsidRPr="00A66AD7" w:rsidTr="00E67423">
        <w:trPr>
          <w:trHeight w:val="227"/>
        </w:trPr>
        <w:tc>
          <w:tcPr>
            <w:tcW w:w="784"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FEF2E9"/>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Prosessindustri</w:t>
            </w:r>
          </w:p>
        </w:tc>
        <w:tc>
          <w:tcPr>
            <w:tcW w:w="375" w:type="pct"/>
            <w:tcBorders>
              <w:top w:val="single" w:sz="4" w:space="0" w:color="A6A6A6"/>
              <w:left w:val="single" w:sz="4" w:space="0" w:color="A6A6A6"/>
              <w:bottom w:val="single" w:sz="4" w:space="0" w:color="A6A6A6"/>
              <w:right w:val="single" w:sz="4" w:space="0" w:color="A6A6A6"/>
            </w:tcBorders>
            <w:shd w:val="clear" w:color="000000" w:fill="FBEEF1"/>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409</w:t>
            </w:r>
          </w:p>
        </w:tc>
        <w:tc>
          <w:tcPr>
            <w:tcW w:w="375" w:type="pct"/>
            <w:tcBorders>
              <w:top w:val="single" w:sz="4" w:space="0" w:color="A6A6A6"/>
              <w:left w:val="single" w:sz="4" w:space="0" w:color="A6A6A6"/>
              <w:bottom w:val="single" w:sz="4" w:space="0" w:color="A6A6A6"/>
              <w:right w:val="single" w:sz="4" w:space="0" w:color="A6A6A6"/>
            </w:tcBorders>
            <w:shd w:val="clear" w:color="000000" w:fill="FAD3D6"/>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327</w:t>
            </w:r>
          </w:p>
        </w:tc>
        <w:tc>
          <w:tcPr>
            <w:tcW w:w="375" w:type="pct"/>
            <w:tcBorders>
              <w:top w:val="single" w:sz="4" w:space="0" w:color="A6A6A6"/>
              <w:left w:val="single" w:sz="4" w:space="0" w:color="A6A6A6"/>
              <w:bottom w:val="single" w:sz="4" w:space="0" w:color="A6A6A6"/>
              <w:right w:val="single" w:sz="4" w:space="0" w:color="A6A6A6"/>
            </w:tcBorders>
            <w:shd w:val="clear" w:color="000000" w:fill="FBE2E5"/>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373</w:t>
            </w:r>
          </w:p>
        </w:tc>
        <w:tc>
          <w:tcPr>
            <w:tcW w:w="375" w:type="pct"/>
            <w:tcBorders>
              <w:top w:val="single" w:sz="4" w:space="0" w:color="A6A6A6"/>
              <w:left w:val="single" w:sz="4" w:space="0" w:color="A6A6A6"/>
              <w:bottom w:val="single" w:sz="4" w:space="0" w:color="A6A6A6"/>
              <w:right w:val="single" w:sz="4" w:space="0" w:color="A6A6A6"/>
            </w:tcBorders>
            <w:shd w:val="clear" w:color="000000" w:fill="FBDADD"/>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349</w:t>
            </w:r>
          </w:p>
        </w:tc>
        <w:tc>
          <w:tcPr>
            <w:tcW w:w="375" w:type="pct"/>
            <w:tcBorders>
              <w:top w:val="single" w:sz="4" w:space="0" w:color="A6A6A6"/>
              <w:left w:val="single" w:sz="4" w:space="0" w:color="A6A6A6"/>
              <w:bottom w:val="single" w:sz="4" w:space="0" w:color="A6A6A6"/>
              <w:right w:val="single" w:sz="4" w:space="0" w:color="A6A6A6"/>
            </w:tcBorders>
            <w:shd w:val="clear" w:color="000000" w:fill="FBD8D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342</w:t>
            </w:r>
          </w:p>
        </w:tc>
        <w:tc>
          <w:tcPr>
            <w:tcW w:w="375" w:type="pct"/>
            <w:tcBorders>
              <w:top w:val="single" w:sz="4" w:space="0" w:color="A6A6A6"/>
              <w:left w:val="single" w:sz="4" w:space="0" w:color="A6A6A6"/>
              <w:bottom w:val="single" w:sz="4" w:space="0" w:color="A6A6A6"/>
              <w:right w:val="single" w:sz="4" w:space="0" w:color="A6A6A6"/>
            </w:tcBorders>
            <w:shd w:val="clear" w:color="000000" w:fill="FBD7DA"/>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340</w:t>
            </w:r>
          </w:p>
        </w:tc>
      </w:tr>
      <w:tr w:rsidR="00E67423" w:rsidRPr="00A66AD7" w:rsidTr="00E67423">
        <w:trPr>
          <w:trHeight w:val="227"/>
        </w:trPr>
        <w:tc>
          <w:tcPr>
            <w:tcW w:w="784"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bottom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FEF2E9"/>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Verkstedindustri</w:t>
            </w:r>
          </w:p>
        </w:tc>
        <w:tc>
          <w:tcPr>
            <w:tcW w:w="375" w:type="pct"/>
            <w:tcBorders>
              <w:top w:val="single" w:sz="4" w:space="0" w:color="A6A6A6"/>
              <w:left w:val="single" w:sz="4" w:space="0" w:color="A6A6A6"/>
              <w:bottom w:val="single" w:sz="4" w:space="0" w:color="A6A6A6"/>
              <w:right w:val="single" w:sz="4" w:space="0" w:color="A6A6A6"/>
            </w:tcBorders>
            <w:shd w:val="clear" w:color="000000" w:fill="D7E2F2"/>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891</w:t>
            </w:r>
          </w:p>
        </w:tc>
        <w:tc>
          <w:tcPr>
            <w:tcW w:w="375" w:type="pct"/>
            <w:tcBorders>
              <w:top w:val="single" w:sz="4" w:space="0" w:color="A6A6A6"/>
              <w:left w:val="single" w:sz="4" w:space="0" w:color="A6A6A6"/>
              <w:bottom w:val="single" w:sz="4" w:space="0" w:color="A6A6A6"/>
              <w:right w:val="single" w:sz="4" w:space="0" w:color="A6A6A6"/>
            </w:tcBorders>
            <w:shd w:val="clear" w:color="000000" w:fill="E2EAF6"/>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767</w:t>
            </w:r>
          </w:p>
        </w:tc>
        <w:tc>
          <w:tcPr>
            <w:tcW w:w="375" w:type="pct"/>
            <w:tcBorders>
              <w:top w:val="single" w:sz="4" w:space="0" w:color="A6A6A6"/>
              <w:left w:val="single" w:sz="4" w:space="0" w:color="A6A6A6"/>
              <w:bottom w:val="single" w:sz="4" w:space="0" w:color="A6A6A6"/>
              <w:right w:val="single" w:sz="4" w:space="0" w:color="A6A6A6"/>
            </w:tcBorders>
            <w:shd w:val="clear" w:color="000000" w:fill="DDE6F4"/>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828</w:t>
            </w:r>
          </w:p>
        </w:tc>
        <w:tc>
          <w:tcPr>
            <w:tcW w:w="375" w:type="pct"/>
            <w:tcBorders>
              <w:top w:val="single" w:sz="4" w:space="0" w:color="A6A6A6"/>
              <w:left w:val="single" w:sz="4" w:space="0" w:color="A6A6A6"/>
              <w:bottom w:val="single" w:sz="4" w:space="0" w:color="A6A6A6"/>
              <w:right w:val="single" w:sz="4" w:space="0" w:color="A6A6A6"/>
            </w:tcBorders>
            <w:shd w:val="clear" w:color="000000" w:fill="F2F5FC"/>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572</w:t>
            </w:r>
          </w:p>
        </w:tc>
        <w:tc>
          <w:tcPr>
            <w:tcW w:w="375" w:type="pct"/>
            <w:tcBorders>
              <w:top w:val="single" w:sz="4" w:space="0" w:color="A6A6A6"/>
              <w:left w:val="single" w:sz="4" w:space="0" w:color="A6A6A6"/>
              <w:bottom w:val="single" w:sz="4" w:space="0" w:color="A6A6A6"/>
              <w:right w:val="single" w:sz="4" w:space="0" w:color="A6A6A6"/>
            </w:tcBorders>
            <w:shd w:val="clear" w:color="000000" w:fill="F3F6FC"/>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564</w:t>
            </w:r>
          </w:p>
        </w:tc>
        <w:tc>
          <w:tcPr>
            <w:tcW w:w="375" w:type="pct"/>
            <w:tcBorders>
              <w:top w:val="single" w:sz="4" w:space="0" w:color="A6A6A6"/>
              <w:left w:val="single" w:sz="4" w:space="0" w:color="A6A6A6"/>
              <w:bottom w:val="single" w:sz="4" w:space="0" w:color="A6A6A6"/>
              <w:right w:val="single" w:sz="4" w:space="0" w:color="A6A6A6"/>
            </w:tcBorders>
            <w:shd w:val="clear" w:color="000000" w:fill="F6F8FD"/>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524</w:t>
            </w:r>
          </w:p>
        </w:tc>
      </w:tr>
      <w:tr w:rsidR="00E67423" w:rsidRPr="00A66AD7" w:rsidTr="00E67423">
        <w:trPr>
          <w:trHeight w:val="227"/>
        </w:trPr>
        <w:tc>
          <w:tcPr>
            <w:tcW w:w="784"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850" w:type="pct"/>
            <w:vMerge w:val="restart"/>
            <w:tcBorders>
              <w:top w:val="single" w:sz="4" w:space="0" w:color="A6A6A6"/>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Natur</w:t>
            </w:r>
          </w:p>
        </w:tc>
        <w:tc>
          <w:tcPr>
            <w:tcW w:w="1115" w:type="pct"/>
            <w:tcBorders>
              <w:top w:val="nil"/>
              <w:left w:val="nil"/>
              <w:bottom w:val="single" w:sz="4" w:space="0" w:color="A6A6A6"/>
              <w:right w:val="single" w:sz="4" w:space="0" w:color="A6A6A6"/>
            </w:tcBorders>
            <w:shd w:val="clear" w:color="000000" w:fill="FEF2E9"/>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Fisk</w:t>
            </w:r>
          </w:p>
        </w:tc>
        <w:tc>
          <w:tcPr>
            <w:tcW w:w="375" w:type="pct"/>
            <w:tcBorders>
              <w:top w:val="single" w:sz="4" w:space="0" w:color="A6A6A6"/>
              <w:left w:val="single" w:sz="4" w:space="0" w:color="A6A6A6"/>
              <w:bottom w:val="single" w:sz="4" w:space="0" w:color="A6A6A6"/>
              <w:right w:val="single" w:sz="4" w:space="0" w:color="A6A6A6"/>
            </w:tcBorders>
            <w:shd w:val="clear" w:color="000000" w:fill="F8696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w:t>
            </w:r>
          </w:p>
        </w:tc>
        <w:tc>
          <w:tcPr>
            <w:tcW w:w="375" w:type="pct"/>
            <w:tcBorders>
              <w:top w:val="single" w:sz="4" w:space="0" w:color="A6A6A6"/>
              <w:left w:val="single" w:sz="4" w:space="0" w:color="A6A6A6"/>
              <w:bottom w:val="single" w:sz="4" w:space="0" w:color="A6A6A6"/>
              <w:right w:val="single" w:sz="4" w:space="0" w:color="A6A6A6"/>
            </w:tcBorders>
            <w:shd w:val="clear" w:color="000000" w:fill="F8696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w:t>
            </w:r>
          </w:p>
        </w:tc>
        <w:tc>
          <w:tcPr>
            <w:tcW w:w="375" w:type="pct"/>
            <w:tcBorders>
              <w:top w:val="single" w:sz="4" w:space="0" w:color="A6A6A6"/>
              <w:left w:val="single" w:sz="4" w:space="0" w:color="A6A6A6"/>
              <w:bottom w:val="single" w:sz="4" w:space="0" w:color="A6A6A6"/>
              <w:right w:val="single" w:sz="4" w:space="0" w:color="A6A6A6"/>
            </w:tcBorders>
            <w:shd w:val="clear" w:color="000000" w:fill="F8696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w:t>
            </w:r>
          </w:p>
        </w:tc>
        <w:tc>
          <w:tcPr>
            <w:tcW w:w="375" w:type="pct"/>
            <w:tcBorders>
              <w:top w:val="single" w:sz="4" w:space="0" w:color="A6A6A6"/>
              <w:left w:val="single" w:sz="4" w:space="0" w:color="A6A6A6"/>
              <w:bottom w:val="single" w:sz="4" w:space="0" w:color="A6A6A6"/>
              <w:right w:val="single" w:sz="4" w:space="0" w:color="A6A6A6"/>
            </w:tcBorders>
            <w:shd w:val="clear" w:color="000000" w:fill="F8696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w:t>
            </w:r>
          </w:p>
        </w:tc>
        <w:tc>
          <w:tcPr>
            <w:tcW w:w="375" w:type="pct"/>
            <w:tcBorders>
              <w:top w:val="single" w:sz="4" w:space="0" w:color="A6A6A6"/>
              <w:left w:val="single" w:sz="4" w:space="0" w:color="A6A6A6"/>
              <w:bottom w:val="single" w:sz="4" w:space="0" w:color="A6A6A6"/>
              <w:right w:val="single" w:sz="4" w:space="0" w:color="A6A6A6"/>
            </w:tcBorders>
            <w:shd w:val="clear" w:color="000000" w:fill="F8696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4</w:t>
            </w:r>
          </w:p>
        </w:tc>
        <w:tc>
          <w:tcPr>
            <w:tcW w:w="375" w:type="pct"/>
            <w:tcBorders>
              <w:top w:val="single" w:sz="4" w:space="0" w:color="A6A6A6"/>
              <w:left w:val="single" w:sz="4" w:space="0" w:color="A6A6A6"/>
              <w:bottom w:val="single" w:sz="4" w:space="0" w:color="A6A6A6"/>
              <w:right w:val="single" w:sz="4" w:space="0" w:color="A6A6A6"/>
            </w:tcBorders>
            <w:shd w:val="clear" w:color="000000" w:fill="F8696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w:t>
            </w:r>
          </w:p>
        </w:tc>
      </w:tr>
      <w:tr w:rsidR="00E67423" w:rsidRPr="00A66AD7" w:rsidTr="00E67423">
        <w:trPr>
          <w:trHeight w:val="227"/>
        </w:trPr>
        <w:tc>
          <w:tcPr>
            <w:tcW w:w="784"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FEF2E9"/>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Gruve</w:t>
            </w:r>
          </w:p>
        </w:tc>
        <w:tc>
          <w:tcPr>
            <w:tcW w:w="375" w:type="pct"/>
            <w:tcBorders>
              <w:top w:val="single" w:sz="4" w:space="0" w:color="A6A6A6"/>
              <w:left w:val="single" w:sz="4" w:space="0" w:color="A6A6A6"/>
              <w:bottom w:val="single" w:sz="4" w:space="0" w:color="A6A6A6"/>
              <w:right w:val="single" w:sz="4" w:space="0" w:color="A6A6A6"/>
            </w:tcBorders>
            <w:shd w:val="clear" w:color="000000" w:fill="F88A8C"/>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103</w:t>
            </w:r>
          </w:p>
        </w:tc>
        <w:tc>
          <w:tcPr>
            <w:tcW w:w="375" w:type="pct"/>
            <w:tcBorders>
              <w:top w:val="single" w:sz="4" w:space="0" w:color="A6A6A6"/>
              <w:left w:val="single" w:sz="4" w:space="0" w:color="A6A6A6"/>
              <w:bottom w:val="single" w:sz="4" w:space="0" w:color="A6A6A6"/>
              <w:right w:val="single" w:sz="4" w:space="0" w:color="A6A6A6"/>
            </w:tcBorders>
            <w:shd w:val="clear" w:color="000000" w:fill="F8888A"/>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97</w:t>
            </w:r>
          </w:p>
        </w:tc>
        <w:tc>
          <w:tcPr>
            <w:tcW w:w="375" w:type="pct"/>
            <w:tcBorders>
              <w:top w:val="single" w:sz="4" w:space="0" w:color="A6A6A6"/>
              <w:left w:val="single" w:sz="4" w:space="0" w:color="A6A6A6"/>
              <w:bottom w:val="single" w:sz="4" w:space="0" w:color="A6A6A6"/>
              <w:right w:val="single" w:sz="4" w:space="0" w:color="A6A6A6"/>
            </w:tcBorders>
            <w:shd w:val="clear" w:color="000000" w:fill="F88487"/>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87</w:t>
            </w:r>
          </w:p>
        </w:tc>
        <w:tc>
          <w:tcPr>
            <w:tcW w:w="375" w:type="pct"/>
            <w:tcBorders>
              <w:top w:val="single" w:sz="4" w:space="0" w:color="A6A6A6"/>
              <w:left w:val="single" w:sz="4" w:space="0" w:color="A6A6A6"/>
              <w:bottom w:val="single" w:sz="4" w:space="0" w:color="A6A6A6"/>
              <w:right w:val="single" w:sz="4" w:space="0" w:color="A6A6A6"/>
            </w:tcBorders>
            <w:shd w:val="clear" w:color="000000" w:fill="F88C8E"/>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111</w:t>
            </w:r>
          </w:p>
        </w:tc>
        <w:tc>
          <w:tcPr>
            <w:tcW w:w="375" w:type="pct"/>
            <w:tcBorders>
              <w:top w:val="single" w:sz="4" w:space="0" w:color="A6A6A6"/>
              <w:left w:val="single" w:sz="4" w:space="0" w:color="A6A6A6"/>
              <w:bottom w:val="single" w:sz="4" w:space="0" w:color="A6A6A6"/>
              <w:right w:val="single" w:sz="4" w:space="0" w:color="A6A6A6"/>
            </w:tcBorders>
            <w:shd w:val="clear" w:color="000000" w:fill="F88C8E"/>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109</w:t>
            </w:r>
          </w:p>
        </w:tc>
        <w:tc>
          <w:tcPr>
            <w:tcW w:w="375" w:type="pct"/>
            <w:tcBorders>
              <w:top w:val="single" w:sz="4" w:space="0" w:color="A6A6A6"/>
              <w:left w:val="single" w:sz="4" w:space="0" w:color="A6A6A6"/>
              <w:bottom w:val="single" w:sz="4" w:space="0" w:color="A6A6A6"/>
              <w:right w:val="single" w:sz="4" w:space="0" w:color="A6A6A6"/>
            </w:tcBorders>
            <w:shd w:val="clear" w:color="000000" w:fill="F88D8F"/>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112</w:t>
            </w:r>
          </w:p>
        </w:tc>
      </w:tr>
      <w:tr w:rsidR="00E67423" w:rsidRPr="00A66AD7" w:rsidTr="00E67423">
        <w:trPr>
          <w:trHeight w:val="227"/>
        </w:trPr>
        <w:tc>
          <w:tcPr>
            <w:tcW w:w="784"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bottom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FEF2E9"/>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Landbruk</w:t>
            </w:r>
          </w:p>
        </w:tc>
        <w:tc>
          <w:tcPr>
            <w:tcW w:w="375" w:type="pct"/>
            <w:tcBorders>
              <w:top w:val="single" w:sz="4" w:space="0" w:color="A6A6A6"/>
              <w:left w:val="single" w:sz="4" w:space="0" w:color="A6A6A6"/>
              <w:bottom w:val="single" w:sz="4" w:space="0" w:color="A6A6A6"/>
              <w:right w:val="single" w:sz="4" w:space="0" w:color="A6A6A6"/>
            </w:tcBorders>
            <w:shd w:val="clear" w:color="000000" w:fill="ABC3E3"/>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1 417</w:t>
            </w:r>
          </w:p>
        </w:tc>
        <w:tc>
          <w:tcPr>
            <w:tcW w:w="375" w:type="pct"/>
            <w:tcBorders>
              <w:top w:val="single" w:sz="4" w:space="0" w:color="A6A6A6"/>
              <w:left w:val="single" w:sz="4" w:space="0" w:color="A6A6A6"/>
              <w:bottom w:val="single" w:sz="4" w:space="0" w:color="A6A6A6"/>
              <w:right w:val="single" w:sz="4" w:space="0" w:color="A6A6A6"/>
            </w:tcBorders>
            <w:shd w:val="clear" w:color="000000" w:fill="AFC6E4"/>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1 362</w:t>
            </w:r>
          </w:p>
        </w:tc>
        <w:tc>
          <w:tcPr>
            <w:tcW w:w="375" w:type="pct"/>
            <w:tcBorders>
              <w:top w:val="single" w:sz="4" w:space="0" w:color="A6A6A6"/>
              <w:left w:val="single" w:sz="4" w:space="0" w:color="A6A6A6"/>
              <w:bottom w:val="single" w:sz="4" w:space="0" w:color="A6A6A6"/>
              <w:right w:val="single" w:sz="4" w:space="0" w:color="A6A6A6"/>
            </w:tcBorders>
            <w:shd w:val="clear" w:color="000000" w:fill="B3C9E6"/>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1 318</w:t>
            </w:r>
          </w:p>
        </w:tc>
        <w:tc>
          <w:tcPr>
            <w:tcW w:w="375" w:type="pct"/>
            <w:tcBorders>
              <w:top w:val="single" w:sz="4" w:space="0" w:color="A6A6A6"/>
              <w:left w:val="single" w:sz="4" w:space="0" w:color="A6A6A6"/>
              <w:bottom w:val="single" w:sz="4" w:space="0" w:color="A6A6A6"/>
              <w:right w:val="single" w:sz="4" w:space="0" w:color="A6A6A6"/>
            </w:tcBorders>
            <w:shd w:val="clear" w:color="000000" w:fill="C1D3E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1 150</w:t>
            </w:r>
          </w:p>
        </w:tc>
        <w:tc>
          <w:tcPr>
            <w:tcW w:w="375" w:type="pct"/>
            <w:tcBorders>
              <w:top w:val="single" w:sz="4" w:space="0" w:color="A6A6A6"/>
              <w:left w:val="single" w:sz="4" w:space="0" w:color="A6A6A6"/>
              <w:bottom w:val="single" w:sz="4" w:space="0" w:color="A6A6A6"/>
              <w:right w:val="single" w:sz="4" w:space="0" w:color="A6A6A6"/>
            </w:tcBorders>
            <w:shd w:val="clear" w:color="000000" w:fill="BACEE8"/>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1 235</w:t>
            </w:r>
          </w:p>
        </w:tc>
        <w:tc>
          <w:tcPr>
            <w:tcW w:w="375" w:type="pct"/>
            <w:tcBorders>
              <w:top w:val="single" w:sz="4" w:space="0" w:color="A6A6A6"/>
              <w:left w:val="single" w:sz="4" w:space="0" w:color="A6A6A6"/>
              <w:bottom w:val="single" w:sz="4" w:space="0" w:color="A6A6A6"/>
              <w:right w:val="single" w:sz="4" w:space="0" w:color="A6A6A6"/>
            </w:tcBorders>
            <w:shd w:val="clear" w:color="000000" w:fill="BCCFE9"/>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1 207</w:t>
            </w:r>
          </w:p>
        </w:tc>
      </w:tr>
      <w:tr w:rsidR="00E67423" w:rsidRPr="00A66AD7" w:rsidTr="00E67423">
        <w:trPr>
          <w:trHeight w:val="227"/>
        </w:trPr>
        <w:tc>
          <w:tcPr>
            <w:tcW w:w="784"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850" w:type="pct"/>
            <w:vMerge w:val="restart"/>
            <w:tcBorders>
              <w:top w:val="single" w:sz="4" w:space="0" w:color="A6A6A6"/>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Tekn tjenester</w:t>
            </w:r>
          </w:p>
        </w:tc>
        <w:tc>
          <w:tcPr>
            <w:tcW w:w="1115" w:type="pct"/>
            <w:tcBorders>
              <w:top w:val="nil"/>
              <w:left w:val="nil"/>
              <w:bottom w:val="single" w:sz="4" w:space="0" w:color="A6A6A6"/>
              <w:right w:val="single" w:sz="4" w:space="0" w:color="A6A6A6"/>
            </w:tcBorders>
            <w:shd w:val="clear" w:color="000000" w:fill="FEF2E9"/>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Olje og gass</w:t>
            </w:r>
          </w:p>
        </w:tc>
        <w:tc>
          <w:tcPr>
            <w:tcW w:w="375" w:type="pct"/>
            <w:tcBorders>
              <w:top w:val="nil"/>
              <w:left w:val="nil"/>
              <w:bottom w:val="single" w:sz="4" w:space="0" w:color="A6A6A6"/>
              <w:right w:val="single" w:sz="4" w:space="0" w:color="A6A6A6"/>
            </w:tcBorders>
            <w:shd w:val="clear" w:color="auto" w:fill="auto"/>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 </w:t>
            </w:r>
          </w:p>
        </w:tc>
        <w:tc>
          <w:tcPr>
            <w:tcW w:w="375" w:type="pct"/>
            <w:tcBorders>
              <w:top w:val="nil"/>
              <w:left w:val="nil"/>
              <w:bottom w:val="single" w:sz="4" w:space="0" w:color="A6A6A6"/>
              <w:right w:val="single" w:sz="4" w:space="0" w:color="A6A6A6"/>
            </w:tcBorders>
            <w:shd w:val="clear" w:color="auto" w:fill="auto"/>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 </w:t>
            </w:r>
          </w:p>
        </w:tc>
        <w:tc>
          <w:tcPr>
            <w:tcW w:w="375" w:type="pct"/>
            <w:tcBorders>
              <w:top w:val="nil"/>
              <w:left w:val="nil"/>
              <w:bottom w:val="single" w:sz="4" w:space="0" w:color="A6A6A6"/>
              <w:right w:val="single" w:sz="4" w:space="0" w:color="A6A6A6"/>
            </w:tcBorders>
            <w:shd w:val="clear" w:color="auto" w:fill="auto"/>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 </w:t>
            </w:r>
          </w:p>
        </w:tc>
        <w:tc>
          <w:tcPr>
            <w:tcW w:w="375" w:type="pct"/>
            <w:tcBorders>
              <w:top w:val="nil"/>
              <w:left w:val="nil"/>
              <w:bottom w:val="single" w:sz="4" w:space="0" w:color="A6A6A6"/>
              <w:right w:val="single" w:sz="4" w:space="0" w:color="A6A6A6"/>
            </w:tcBorders>
            <w:shd w:val="clear" w:color="auto" w:fill="auto"/>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 </w:t>
            </w:r>
          </w:p>
        </w:tc>
        <w:tc>
          <w:tcPr>
            <w:tcW w:w="375" w:type="pct"/>
            <w:tcBorders>
              <w:top w:val="nil"/>
              <w:left w:val="nil"/>
              <w:bottom w:val="single" w:sz="4" w:space="0" w:color="A6A6A6"/>
              <w:right w:val="single" w:sz="4" w:space="0" w:color="A6A6A6"/>
            </w:tcBorders>
            <w:shd w:val="clear" w:color="auto" w:fill="auto"/>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 </w:t>
            </w:r>
          </w:p>
        </w:tc>
        <w:tc>
          <w:tcPr>
            <w:tcW w:w="375" w:type="pct"/>
            <w:tcBorders>
              <w:top w:val="nil"/>
              <w:left w:val="nil"/>
              <w:bottom w:val="single" w:sz="4" w:space="0" w:color="A6A6A6"/>
              <w:right w:val="single" w:sz="4" w:space="0" w:color="A6A6A6"/>
            </w:tcBorders>
            <w:shd w:val="clear" w:color="auto" w:fill="auto"/>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 </w:t>
            </w:r>
          </w:p>
        </w:tc>
      </w:tr>
      <w:tr w:rsidR="00E67423" w:rsidRPr="00A66AD7" w:rsidTr="00E67423">
        <w:trPr>
          <w:trHeight w:val="227"/>
        </w:trPr>
        <w:tc>
          <w:tcPr>
            <w:tcW w:w="784"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FEF2E9"/>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Teknisk/vitenskap</w:t>
            </w:r>
          </w:p>
        </w:tc>
        <w:tc>
          <w:tcPr>
            <w:tcW w:w="375" w:type="pct"/>
            <w:tcBorders>
              <w:top w:val="single" w:sz="4" w:space="0" w:color="A6A6A6"/>
              <w:left w:val="single" w:sz="4" w:space="0" w:color="A6A6A6"/>
              <w:bottom w:val="single" w:sz="4" w:space="0" w:color="A6A6A6"/>
              <w:right w:val="single" w:sz="4" w:space="0" w:color="A6A6A6"/>
            </w:tcBorders>
            <w:shd w:val="clear" w:color="000000" w:fill="F8797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52</w:t>
            </w:r>
          </w:p>
        </w:tc>
        <w:tc>
          <w:tcPr>
            <w:tcW w:w="375" w:type="pct"/>
            <w:tcBorders>
              <w:top w:val="single" w:sz="4" w:space="0" w:color="A6A6A6"/>
              <w:left w:val="single" w:sz="4" w:space="0" w:color="A6A6A6"/>
              <w:bottom w:val="single" w:sz="4" w:space="0" w:color="A6A6A6"/>
              <w:right w:val="single" w:sz="4" w:space="0" w:color="A6A6A6"/>
            </w:tcBorders>
            <w:shd w:val="clear" w:color="000000" w:fill="F8888A"/>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98</w:t>
            </w:r>
          </w:p>
        </w:tc>
        <w:tc>
          <w:tcPr>
            <w:tcW w:w="375" w:type="pct"/>
            <w:tcBorders>
              <w:top w:val="single" w:sz="4" w:space="0" w:color="A6A6A6"/>
              <w:left w:val="single" w:sz="4" w:space="0" w:color="A6A6A6"/>
              <w:bottom w:val="single" w:sz="4" w:space="0" w:color="A6A6A6"/>
              <w:right w:val="single" w:sz="4" w:space="0" w:color="A6A6A6"/>
            </w:tcBorders>
            <w:shd w:val="clear" w:color="000000" w:fill="F88D8F"/>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112</w:t>
            </w:r>
          </w:p>
        </w:tc>
        <w:tc>
          <w:tcPr>
            <w:tcW w:w="375" w:type="pct"/>
            <w:tcBorders>
              <w:top w:val="single" w:sz="4" w:space="0" w:color="A6A6A6"/>
              <w:left w:val="single" w:sz="4" w:space="0" w:color="A6A6A6"/>
              <w:bottom w:val="single" w:sz="4" w:space="0" w:color="A6A6A6"/>
              <w:right w:val="single" w:sz="4" w:space="0" w:color="A6A6A6"/>
            </w:tcBorders>
            <w:shd w:val="clear" w:color="000000" w:fill="F88A8C"/>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105</w:t>
            </w:r>
          </w:p>
        </w:tc>
        <w:tc>
          <w:tcPr>
            <w:tcW w:w="375" w:type="pct"/>
            <w:tcBorders>
              <w:top w:val="single" w:sz="4" w:space="0" w:color="A6A6A6"/>
              <w:left w:val="single" w:sz="4" w:space="0" w:color="A6A6A6"/>
              <w:bottom w:val="single" w:sz="4" w:space="0" w:color="A6A6A6"/>
              <w:right w:val="single" w:sz="4" w:space="0" w:color="A6A6A6"/>
            </w:tcBorders>
            <w:shd w:val="clear" w:color="000000" w:fill="F98E90"/>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117</w:t>
            </w:r>
          </w:p>
        </w:tc>
        <w:tc>
          <w:tcPr>
            <w:tcW w:w="375" w:type="pct"/>
            <w:tcBorders>
              <w:top w:val="single" w:sz="4" w:space="0" w:color="A6A6A6"/>
              <w:left w:val="single" w:sz="4" w:space="0" w:color="A6A6A6"/>
              <w:bottom w:val="single" w:sz="4" w:space="0" w:color="A6A6A6"/>
              <w:right w:val="single" w:sz="4" w:space="0" w:color="A6A6A6"/>
            </w:tcBorders>
            <w:shd w:val="clear" w:color="000000" w:fill="F88D8F"/>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114</w:t>
            </w:r>
          </w:p>
        </w:tc>
      </w:tr>
      <w:tr w:rsidR="00E67423" w:rsidRPr="00A66AD7" w:rsidTr="00E67423">
        <w:trPr>
          <w:trHeight w:val="227"/>
        </w:trPr>
        <w:tc>
          <w:tcPr>
            <w:tcW w:w="784" w:type="pct"/>
            <w:vMerge/>
            <w:tcBorders>
              <w:left w:val="single" w:sz="4" w:space="0" w:color="A6A6A6"/>
              <w:bottom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bottom w:val="single" w:sz="4" w:space="0" w:color="A6A6A6"/>
              <w:right w:val="single" w:sz="4" w:space="0" w:color="A6A6A6"/>
            </w:tcBorders>
            <w:shd w:val="clear" w:color="000000" w:fill="FEF2E9"/>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FEF2E9"/>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Tele og IKT</w:t>
            </w:r>
          </w:p>
        </w:tc>
        <w:tc>
          <w:tcPr>
            <w:tcW w:w="375" w:type="pct"/>
            <w:tcBorders>
              <w:top w:val="single" w:sz="4" w:space="0" w:color="A6A6A6"/>
              <w:left w:val="single" w:sz="4" w:space="0" w:color="A6A6A6"/>
              <w:bottom w:val="single" w:sz="4" w:space="0" w:color="A6A6A6"/>
              <w:right w:val="single" w:sz="4" w:space="0" w:color="A6A6A6"/>
            </w:tcBorders>
            <w:shd w:val="clear" w:color="000000" w:fill="F9979A"/>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145</w:t>
            </w:r>
          </w:p>
        </w:tc>
        <w:tc>
          <w:tcPr>
            <w:tcW w:w="375" w:type="pct"/>
            <w:tcBorders>
              <w:top w:val="single" w:sz="4" w:space="0" w:color="A6A6A6"/>
              <w:left w:val="single" w:sz="4" w:space="0" w:color="A6A6A6"/>
              <w:bottom w:val="single" w:sz="4" w:space="0" w:color="A6A6A6"/>
              <w:right w:val="single" w:sz="4" w:space="0" w:color="A6A6A6"/>
            </w:tcBorders>
            <w:shd w:val="clear" w:color="000000" w:fill="F9AEB1"/>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215</w:t>
            </w:r>
          </w:p>
        </w:tc>
        <w:tc>
          <w:tcPr>
            <w:tcW w:w="375" w:type="pct"/>
            <w:tcBorders>
              <w:top w:val="single" w:sz="4" w:space="0" w:color="A6A6A6"/>
              <w:left w:val="single" w:sz="4" w:space="0" w:color="A6A6A6"/>
              <w:bottom w:val="single" w:sz="4" w:space="0" w:color="A6A6A6"/>
              <w:right w:val="single" w:sz="4" w:space="0" w:color="A6A6A6"/>
            </w:tcBorders>
            <w:shd w:val="clear" w:color="000000" w:fill="F9AEB0"/>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214</w:t>
            </w:r>
          </w:p>
        </w:tc>
        <w:tc>
          <w:tcPr>
            <w:tcW w:w="375" w:type="pct"/>
            <w:tcBorders>
              <w:top w:val="single" w:sz="4" w:space="0" w:color="A6A6A6"/>
              <w:left w:val="single" w:sz="4" w:space="0" w:color="A6A6A6"/>
              <w:bottom w:val="single" w:sz="4" w:space="0" w:color="A6A6A6"/>
              <w:right w:val="single" w:sz="4" w:space="0" w:color="A6A6A6"/>
            </w:tcBorders>
            <w:shd w:val="clear" w:color="000000" w:fill="F9A4A6"/>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184</w:t>
            </w:r>
          </w:p>
        </w:tc>
        <w:tc>
          <w:tcPr>
            <w:tcW w:w="375" w:type="pct"/>
            <w:tcBorders>
              <w:top w:val="single" w:sz="4" w:space="0" w:color="A6A6A6"/>
              <w:left w:val="single" w:sz="4" w:space="0" w:color="A6A6A6"/>
              <w:bottom w:val="single" w:sz="4" w:space="0" w:color="A6A6A6"/>
              <w:right w:val="single" w:sz="4" w:space="0" w:color="A6A6A6"/>
            </w:tcBorders>
            <w:shd w:val="clear" w:color="000000" w:fill="F9A7AA"/>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194</w:t>
            </w:r>
          </w:p>
        </w:tc>
        <w:tc>
          <w:tcPr>
            <w:tcW w:w="375" w:type="pct"/>
            <w:tcBorders>
              <w:top w:val="single" w:sz="4" w:space="0" w:color="A6A6A6"/>
              <w:left w:val="single" w:sz="4" w:space="0" w:color="A6A6A6"/>
              <w:bottom w:val="single" w:sz="4" w:space="0" w:color="A6A6A6"/>
              <w:right w:val="single" w:sz="4" w:space="0" w:color="A6A6A6"/>
            </w:tcBorders>
            <w:shd w:val="clear" w:color="000000" w:fill="F9A2A5"/>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178</w:t>
            </w:r>
          </w:p>
        </w:tc>
      </w:tr>
      <w:tr w:rsidR="00E67423" w:rsidRPr="00A66AD7" w:rsidTr="00E67423">
        <w:trPr>
          <w:trHeight w:val="227"/>
        </w:trPr>
        <w:tc>
          <w:tcPr>
            <w:tcW w:w="784" w:type="pct"/>
            <w:vMerge w:val="restart"/>
            <w:tcBorders>
              <w:top w:val="single" w:sz="4" w:space="0" w:color="A6A6A6"/>
              <w:left w:val="single" w:sz="4" w:space="0" w:color="A6A6A6"/>
              <w:right w:val="single" w:sz="4" w:space="0" w:color="A6A6A6"/>
            </w:tcBorders>
            <w:shd w:val="clear" w:color="000000" w:fill="EBF1DE"/>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Besøk</w:t>
            </w:r>
          </w:p>
        </w:tc>
        <w:tc>
          <w:tcPr>
            <w:tcW w:w="850" w:type="pct"/>
            <w:vMerge w:val="restart"/>
            <w:tcBorders>
              <w:top w:val="single" w:sz="4" w:space="0" w:color="A6A6A6"/>
              <w:left w:val="single" w:sz="4" w:space="0" w:color="A6A6A6"/>
              <w:right w:val="single" w:sz="4" w:space="0" w:color="A6A6A6"/>
            </w:tcBorders>
            <w:shd w:val="clear" w:color="000000" w:fill="EBF1DE"/>
            <w:noWrap/>
            <w:vAlign w:val="center"/>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EBF1DE"/>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Aktivitet</w:t>
            </w:r>
          </w:p>
        </w:tc>
        <w:tc>
          <w:tcPr>
            <w:tcW w:w="375" w:type="pct"/>
            <w:tcBorders>
              <w:top w:val="single" w:sz="4" w:space="0" w:color="A6A6A6"/>
              <w:left w:val="single" w:sz="4" w:space="0" w:color="A6A6A6"/>
              <w:bottom w:val="single" w:sz="4" w:space="0" w:color="A6A6A6"/>
              <w:right w:val="single" w:sz="4" w:space="0" w:color="A6A6A6"/>
            </w:tcBorders>
            <w:shd w:val="clear" w:color="000000" w:fill="FAD4D7"/>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330</w:t>
            </w:r>
          </w:p>
        </w:tc>
        <w:tc>
          <w:tcPr>
            <w:tcW w:w="375" w:type="pct"/>
            <w:tcBorders>
              <w:top w:val="single" w:sz="4" w:space="0" w:color="A6A6A6"/>
              <w:left w:val="single" w:sz="4" w:space="0" w:color="A6A6A6"/>
              <w:bottom w:val="single" w:sz="4" w:space="0" w:color="A6A6A6"/>
              <w:right w:val="single" w:sz="4" w:space="0" w:color="A6A6A6"/>
            </w:tcBorders>
            <w:shd w:val="clear" w:color="000000" w:fill="FBE7EA"/>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388</w:t>
            </w:r>
          </w:p>
        </w:tc>
        <w:tc>
          <w:tcPr>
            <w:tcW w:w="375" w:type="pct"/>
            <w:tcBorders>
              <w:top w:val="single" w:sz="4" w:space="0" w:color="A6A6A6"/>
              <w:left w:val="single" w:sz="4" w:space="0" w:color="A6A6A6"/>
              <w:bottom w:val="single" w:sz="4" w:space="0" w:color="A6A6A6"/>
              <w:right w:val="single" w:sz="4" w:space="0" w:color="A6A6A6"/>
            </w:tcBorders>
            <w:shd w:val="clear" w:color="000000" w:fill="FBF0F3"/>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415</w:t>
            </w:r>
          </w:p>
        </w:tc>
        <w:tc>
          <w:tcPr>
            <w:tcW w:w="375" w:type="pct"/>
            <w:tcBorders>
              <w:top w:val="single" w:sz="4" w:space="0" w:color="A6A6A6"/>
              <w:left w:val="single" w:sz="4" w:space="0" w:color="A6A6A6"/>
              <w:bottom w:val="single" w:sz="4" w:space="0" w:color="A6A6A6"/>
              <w:right w:val="single" w:sz="4" w:space="0" w:color="A6A6A6"/>
            </w:tcBorders>
            <w:shd w:val="clear" w:color="000000" w:fill="FBF3F6"/>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426</w:t>
            </w:r>
          </w:p>
        </w:tc>
        <w:tc>
          <w:tcPr>
            <w:tcW w:w="375" w:type="pct"/>
            <w:tcBorders>
              <w:top w:val="single" w:sz="4" w:space="0" w:color="A6A6A6"/>
              <w:left w:val="single" w:sz="4" w:space="0" w:color="A6A6A6"/>
              <w:bottom w:val="single" w:sz="4" w:space="0" w:color="A6A6A6"/>
              <w:right w:val="single" w:sz="4" w:space="0" w:color="A6A6A6"/>
            </w:tcBorders>
            <w:shd w:val="clear" w:color="000000" w:fill="FBEEF1"/>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409</w:t>
            </w:r>
          </w:p>
        </w:tc>
        <w:tc>
          <w:tcPr>
            <w:tcW w:w="375" w:type="pct"/>
            <w:tcBorders>
              <w:top w:val="single" w:sz="4" w:space="0" w:color="A6A6A6"/>
              <w:left w:val="single" w:sz="4" w:space="0" w:color="A6A6A6"/>
              <w:bottom w:val="single" w:sz="4" w:space="0" w:color="A6A6A6"/>
              <w:right w:val="single" w:sz="4" w:space="0" w:color="A6A6A6"/>
            </w:tcBorders>
            <w:shd w:val="clear" w:color="000000" w:fill="FBE4E7"/>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379</w:t>
            </w:r>
          </w:p>
        </w:tc>
      </w:tr>
      <w:tr w:rsidR="00E67423" w:rsidRPr="00A66AD7" w:rsidTr="00E67423">
        <w:trPr>
          <w:trHeight w:val="227"/>
        </w:trPr>
        <w:tc>
          <w:tcPr>
            <w:tcW w:w="784" w:type="pct"/>
            <w:vMerge/>
            <w:tcBorders>
              <w:left w:val="single" w:sz="4" w:space="0" w:color="A6A6A6"/>
              <w:right w:val="single" w:sz="4" w:space="0" w:color="A6A6A6"/>
            </w:tcBorders>
            <w:shd w:val="clear" w:color="000000" w:fill="EBF1DE"/>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right w:val="single" w:sz="4" w:space="0" w:color="A6A6A6"/>
            </w:tcBorders>
            <w:shd w:val="clear" w:color="000000" w:fill="EBF1DE"/>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EBF1DE"/>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Handel</w:t>
            </w:r>
          </w:p>
        </w:tc>
        <w:tc>
          <w:tcPr>
            <w:tcW w:w="375" w:type="pct"/>
            <w:tcBorders>
              <w:top w:val="single" w:sz="4" w:space="0" w:color="A6A6A6"/>
              <w:left w:val="single" w:sz="4" w:space="0" w:color="A6A6A6"/>
              <w:bottom w:val="single" w:sz="4" w:space="0" w:color="A6A6A6"/>
              <w:right w:val="single" w:sz="4" w:space="0" w:color="A6A6A6"/>
            </w:tcBorders>
            <w:shd w:val="clear" w:color="000000" w:fill="6A96CC"/>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2 175</w:t>
            </w:r>
          </w:p>
        </w:tc>
        <w:tc>
          <w:tcPr>
            <w:tcW w:w="375" w:type="pct"/>
            <w:tcBorders>
              <w:top w:val="single" w:sz="4" w:space="0" w:color="A6A6A6"/>
              <w:left w:val="single" w:sz="4" w:space="0" w:color="A6A6A6"/>
              <w:bottom w:val="single" w:sz="4" w:space="0" w:color="A6A6A6"/>
              <w:right w:val="single" w:sz="4" w:space="0" w:color="A6A6A6"/>
            </w:tcBorders>
            <w:shd w:val="clear" w:color="000000" w:fill="5A8AC6"/>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2 360</w:t>
            </w:r>
          </w:p>
        </w:tc>
        <w:tc>
          <w:tcPr>
            <w:tcW w:w="375" w:type="pct"/>
            <w:tcBorders>
              <w:top w:val="single" w:sz="4" w:space="0" w:color="A6A6A6"/>
              <w:left w:val="single" w:sz="4" w:space="0" w:color="A6A6A6"/>
              <w:bottom w:val="single" w:sz="4" w:space="0" w:color="A6A6A6"/>
              <w:right w:val="single" w:sz="4" w:space="0" w:color="A6A6A6"/>
            </w:tcBorders>
            <w:shd w:val="clear" w:color="000000" w:fill="5E8DC8"/>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2 321</w:t>
            </w:r>
          </w:p>
        </w:tc>
        <w:tc>
          <w:tcPr>
            <w:tcW w:w="375" w:type="pct"/>
            <w:tcBorders>
              <w:top w:val="single" w:sz="4" w:space="0" w:color="A6A6A6"/>
              <w:left w:val="single" w:sz="4" w:space="0" w:color="A6A6A6"/>
              <w:bottom w:val="single" w:sz="4" w:space="0" w:color="A6A6A6"/>
              <w:right w:val="single" w:sz="4" w:space="0" w:color="A6A6A6"/>
            </w:tcBorders>
            <w:shd w:val="clear" w:color="000000" w:fill="6290C9"/>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2 266</w:t>
            </w:r>
          </w:p>
        </w:tc>
        <w:tc>
          <w:tcPr>
            <w:tcW w:w="375" w:type="pct"/>
            <w:tcBorders>
              <w:top w:val="single" w:sz="4" w:space="0" w:color="A6A6A6"/>
              <w:left w:val="single" w:sz="4" w:space="0" w:color="A6A6A6"/>
              <w:bottom w:val="single" w:sz="4" w:space="0" w:color="A6A6A6"/>
              <w:right w:val="single" w:sz="4" w:space="0" w:color="A6A6A6"/>
            </w:tcBorders>
            <w:shd w:val="clear" w:color="000000" w:fill="6A96CC"/>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2 173</w:t>
            </w:r>
          </w:p>
        </w:tc>
        <w:tc>
          <w:tcPr>
            <w:tcW w:w="375" w:type="pct"/>
            <w:tcBorders>
              <w:top w:val="single" w:sz="4" w:space="0" w:color="A6A6A6"/>
              <w:left w:val="single" w:sz="4" w:space="0" w:color="A6A6A6"/>
              <w:bottom w:val="single" w:sz="4" w:space="0" w:color="A6A6A6"/>
              <w:right w:val="single" w:sz="4" w:space="0" w:color="A6A6A6"/>
            </w:tcBorders>
            <w:shd w:val="clear" w:color="000000" w:fill="6C97CD"/>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2 151</w:t>
            </w:r>
          </w:p>
        </w:tc>
      </w:tr>
      <w:tr w:rsidR="00E67423" w:rsidRPr="00A66AD7" w:rsidTr="00E67423">
        <w:trPr>
          <w:trHeight w:val="227"/>
        </w:trPr>
        <w:tc>
          <w:tcPr>
            <w:tcW w:w="784" w:type="pct"/>
            <w:vMerge/>
            <w:tcBorders>
              <w:left w:val="single" w:sz="4" w:space="0" w:color="A6A6A6"/>
              <w:right w:val="single" w:sz="4" w:space="0" w:color="A6A6A6"/>
            </w:tcBorders>
            <w:shd w:val="clear" w:color="000000" w:fill="EBF1DE"/>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right w:val="single" w:sz="4" w:space="0" w:color="A6A6A6"/>
            </w:tcBorders>
            <w:shd w:val="clear" w:color="000000" w:fill="EBF1DE"/>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EBF1DE"/>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Overnatting</w:t>
            </w:r>
          </w:p>
        </w:tc>
        <w:tc>
          <w:tcPr>
            <w:tcW w:w="375" w:type="pct"/>
            <w:tcBorders>
              <w:top w:val="single" w:sz="4" w:space="0" w:color="A6A6A6"/>
              <w:left w:val="single" w:sz="4" w:space="0" w:color="A6A6A6"/>
              <w:bottom w:val="single" w:sz="4" w:space="0" w:color="A6A6A6"/>
              <w:right w:val="single" w:sz="4" w:space="0" w:color="A6A6A6"/>
            </w:tcBorders>
            <w:shd w:val="clear" w:color="000000" w:fill="F88B8D"/>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108</w:t>
            </w:r>
          </w:p>
        </w:tc>
        <w:tc>
          <w:tcPr>
            <w:tcW w:w="375" w:type="pct"/>
            <w:tcBorders>
              <w:top w:val="single" w:sz="4" w:space="0" w:color="A6A6A6"/>
              <w:left w:val="single" w:sz="4" w:space="0" w:color="A6A6A6"/>
              <w:bottom w:val="single" w:sz="4" w:space="0" w:color="A6A6A6"/>
              <w:right w:val="single" w:sz="4" w:space="0" w:color="A6A6A6"/>
            </w:tcBorders>
            <w:shd w:val="clear" w:color="000000" w:fill="F99294"/>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128</w:t>
            </w:r>
          </w:p>
        </w:tc>
        <w:tc>
          <w:tcPr>
            <w:tcW w:w="375" w:type="pct"/>
            <w:tcBorders>
              <w:top w:val="single" w:sz="4" w:space="0" w:color="A6A6A6"/>
              <w:left w:val="single" w:sz="4" w:space="0" w:color="A6A6A6"/>
              <w:bottom w:val="single" w:sz="4" w:space="0" w:color="A6A6A6"/>
              <w:right w:val="single" w:sz="4" w:space="0" w:color="A6A6A6"/>
            </w:tcBorders>
            <w:shd w:val="clear" w:color="000000" w:fill="F99FA2"/>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169</w:t>
            </w:r>
          </w:p>
        </w:tc>
        <w:tc>
          <w:tcPr>
            <w:tcW w:w="375" w:type="pct"/>
            <w:tcBorders>
              <w:top w:val="single" w:sz="4" w:space="0" w:color="A6A6A6"/>
              <w:left w:val="single" w:sz="4" w:space="0" w:color="A6A6A6"/>
              <w:bottom w:val="single" w:sz="4" w:space="0" w:color="A6A6A6"/>
              <w:right w:val="single" w:sz="4" w:space="0" w:color="A6A6A6"/>
            </w:tcBorders>
            <w:shd w:val="clear" w:color="000000" w:fill="F9989A"/>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146</w:t>
            </w:r>
          </w:p>
        </w:tc>
        <w:tc>
          <w:tcPr>
            <w:tcW w:w="375" w:type="pct"/>
            <w:tcBorders>
              <w:top w:val="single" w:sz="4" w:space="0" w:color="A6A6A6"/>
              <w:left w:val="single" w:sz="4" w:space="0" w:color="A6A6A6"/>
              <w:bottom w:val="single" w:sz="4" w:space="0" w:color="A6A6A6"/>
              <w:right w:val="single" w:sz="4" w:space="0" w:color="A6A6A6"/>
            </w:tcBorders>
            <w:shd w:val="clear" w:color="000000" w:fill="F9999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150</w:t>
            </w:r>
          </w:p>
        </w:tc>
        <w:tc>
          <w:tcPr>
            <w:tcW w:w="375" w:type="pct"/>
            <w:tcBorders>
              <w:top w:val="single" w:sz="4" w:space="0" w:color="A6A6A6"/>
              <w:left w:val="single" w:sz="4" w:space="0" w:color="A6A6A6"/>
              <w:bottom w:val="single" w:sz="4" w:space="0" w:color="A6A6A6"/>
              <w:right w:val="single" w:sz="4" w:space="0" w:color="A6A6A6"/>
            </w:tcBorders>
            <w:shd w:val="clear" w:color="000000" w:fill="F9979A"/>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145</w:t>
            </w:r>
          </w:p>
        </w:tc>
      </w:tr>
      <w:tr w:rsidR="00E67423" w:rsidRPr="00A66AD7" w:rsidTr="00E67423">
        <w:trPr>
          <w:trHeight w:val="227"/>
        </w:trPr>
        <w:tc>
          <w:tcPr>
            <w:tcW w:w="784" w:type="pct"/>
            <w:vMerge/>
            <w:tcBorders>
              <w:left w:val="single" w:sz="4" w:space="0" w:color="A6A6A6"/>
              <w:bottom w:val="single" w:sz="4" w:space="0" w:color="A6A6A6"/>
              <w:right w:val="single" w:sz="4" w:space="0" w:color="A6A6A6"/>
            </w:tcBorders>
            <w:shd w:val="clear" w:color="000000" w:fill="EBF1DE"/>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bottom w:val="single" w:sz="4" w:space="0" w:color="A6A6A6"/>
              <w:right w:val="single" w:sz="4" w:space="0" w:color="A6A6A6"/>
            </w:tcBorders>
            <w:shd w:val="clear" w:color="000000" w:fill="EBF1DE"/>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EBF1DE"/>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Servering</w:t>
            </w:r>
          </w:p>
        </w:tc>
        <w:tc>
          <w:tcPr>
            <w:tcW w:w="375" w:type="pct"/>
            <w:tcBorders>
              <w:top w:val="single" w:sz="4" w:space="0" w:color="A6A6A6"/>
              <w:left w:val="single" w:sz="4" w:space="0" w:color="A6A6A6"/>
              <w:bottom w:val="single" w:sz="4" w:space="0" w:color="A6A6A6"/>
              <w:right w:val="single" w:sz="4" w:space="0" w:color="A6A6A6"/>
            </w:tcBorders>
            <w:shd w:val="clear" w:color="000000" w:fill="F9B0B2"/>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219</w:t>
            </w:r>
          </w:p>
        </w:tc>
        <w:tc>
          <w:tcPr>
            <w:tcW w:w="375" w:type="pct"/>
            <w:tcBorders>
              <w:top w:val="single" w:sz="4" w:space="0" w:color="A6A6A6"/>
              <w:left w:val="single" w:sz="4" w:space="0" w:color="A6A6A6"/>
              <w:bottom w:val="single" w:sz="4" w:space="0" w:color="A6A6A6"/>
              <w:right w:val="single" w:sz="4" w:space="0" w:color="A6A6A6"/>
            </w:tcBorders>
            <w:shd w:val="clear" w:color="000000" w:fill="F9A8AA"/>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196</w:t>
            </w:r>
          </w:p>
        </w:tc>
        <w:tc>
          <w:tcPr>
            <w:tcW w:w="375" w:type="pct"/>
            <w:tcBorders>
              <w:top w:val="single" w:sz="4" w:space="0" w:color="A6A6A6"/>
              <w:left w:val="single" w:sz="4" w:space="0" w:color="A6A6A6"/>
              <w:bottom w:val="single" w:sz="4" w:space="0" w:color="A6A6A6"/>
              <w:right w:val="single" w:sz="4" w:space="0" w:color="A6A6A6"/>
            </w:tcBorders>
            <w:shd w:val="clear" w:color="000000" w:fill="F9A5A7"/>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187</w:t>
            </w:r>
          </w:p>
        </w:tc>
        <w:tc>
          <w:tcPr>
            <w:tcW w:w="375" w:type="pct"/>
            <w:tcBorders>
              <w:top w:val="single" w:sz="4" w:space="0" w:color="A6A6A6"/>
              <w:left w:val="single" w:sz="4" w:space="0" w:color="A6A6A6"/>
              <w:bottom w:val="single" w:sz="4" w:space="0" w:color="A6A6A6"/>
              <w:right w:val="single" w:sz="4" w:space="0" w:color="A6A6A6"/>
            </w:tcBorders>
            <w:shd w:val="clear" w:color="000000" w:fill="F9A2A4"/>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177</w:t>
            </w:r>
          </w:p>
        </w:tc>
        <w:tc>
          <w:tcPr>
            <w:tcW w:w="375" w:type="pct"/>
            <w:tcBorders>
              <w:top w:val="single" w:sz="4" w:space="0" w:color="A6A6A6"/>
              <w:left w:val="single" w:sz="4" w:space="0" w:color="A6A6A6"/>
              <w:bottom w:val="single" w:sz="4" w:space="0" w:color="A6A6A6"/>
              <w:right w:val="single" w:sz="4" w:space="0" w:color="A6A6A6"/>
            </w:tcBorders>
            <w:shd w:val="clear" w:color="000000" w:fill="F9A7A9"/>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193</w:t>
            </w:r>
          </w:p>
        </w:tc>
        <w:tc>
          <w:tcPr>
            <w:tcW w:w="375" w:type="pct"/>
            <w:tcBorders>
              <w:top w:val="single" w:sz="4" w:space="0" w:color="A6A6A6"/>
              <w:left w:val="single" w:sz="4" w:space="0" w:color="A6A6A6"/>
              <w:bottom w:val="single" w:sz="4" w:space="0" w:color="A6A6A6"/>
              <w:right w:val="single" w:sz="4" w:space="0" w:color="A6A6A6"/>
            </w:tcBorders>
            <w:shd w:val="clear" w:color="000000" w:fill="F99DA0"/>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163</w:t>
            </w:r>
          </w:p>
        </w:tc>
      </w:tr>
      <w:tr w:rsidR="00A66AD7" w:rsidRPr="00A66AD7" w:rsidTr="00E67423">
        <w:trPr>
          <w:trHeight w:val="227"/>
        </w:trPr>
        <w:tc>
          <w:tcPr>
            <w:tcW w:w="784" w:type="pct"/>
            <w:tcBorders>
              <w:top w:val="single" w:sz="4" w:space="0" w:color="A6A6A6"/>
              <w:left w:val="single" w:sz="4" w:space="0" w:color="A6A6A6"/>
              <w:bottom w:val="single" w:sz="4" w:space="0" w:color="A6A6A6"/>
              <w:right w:val="single" w:sz="4" w:space="0" w:color="A6A6A6"/>
            </w:tcBorders>
            <w:shd w:val="clear" w:color="000000" w:fill="E4DFEC"/>
            <w:noWrap/>
            <w:vAlign w:val="center"/>
            <w:hideMark/>
          </w:tcPr>
          <w:p w:rsidR="00A66AD7" w:rsidRPr="00A66AD7" w:rsidRDefault="00A66AD7" w:rsidP="00E67423">
            <w:pPr>
              <w:spacing w:after="0" w:line="240" w:lineRule="auto"/>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Lokal</w:t>
            </w:r>
          </w:p>
        </w:tc>
        <w:tc>
          <w:tcPr>
            <w:tcW w:w="850" w:type="pct"/>
            <w:tcBorders>
              <w:top w:val="single" w:sz="4" w:space="0" w:color="A6A6A6"/>
              <w:left w:val="single" w:sz="4" w:space="0" w:color="A6A6A6"/>
              <w:bottom w:val="single" w:sz="4" w:space="0" w:color="A6A6A6"/>
              <w:right w:val="single" w:sz="4" w:space="0" w:color="A6A6A6"/>
            </w:tcBorders>
            <w:shd w:val="clear" w:color="000000" w:fill="E4DFEC"/>
            <w:noWrap/>
            <w:vAlign w:val="center"/>
            <w:hideMark/>
          </w:tcPr>
          <w:p w:rsidR="00A66AD7" w:rsidRPr="00A66AD7" w:rsidRDefault="00A66AD7"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E4DFEC"/>
            <w:noWrap/>
            <w:vAlign w:val="bottom"/>
            <w:hideMark/>
          </w:tcPr>
          <w:p w:rsidR="00A66AD7" w:rsidRPr="00A66AD7" w:rsidRDefault="00A66AD7"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Lokal</w:t>
            </w:r>
          </w:p>
        </w:tc>
        <w:tc>
          <w:tcPr>
            <w:tcW w:w="375" w:type="pct"/>
            <w:tcBorders>
              <w:top w:val="single" w:sz="4" w:space="0" w:color="A6A6A6"/>
              <w:left w:val="single" w:sz="4" w:space="0" w:color="A6A6A6"/>
              <w:bottom w:val="single" w:sz="4" w:space="0" w:color="A6A6A6"/>
              <w:right w:val="single" w:sz="4" w:space="0" w:color="A6A6A6"/>
            </w:tcBorders>
            <w:shd w:val="clear" w:color="000000" w:fill="E6EDF8"/>
            <w:noWrap/>
            <w:vAlign w:val="bottom"/>
            <w:hideMark/>
          </w:tcPr>
          <w:p w:rsidR="00A66AD7" w:rsidRPr="00A66AD7" w:rsidRDefault="00A66AD7"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712</w:t>
            </w:r>
          </w:p>
        </w:tc>
        <w:tc>
          <w:tcPr>
            <w:tcW w:w="375" w:type="pct"/>
            <w:tcBorders>
              <w:top w:val="single" w:sz="4" w:space="0" w:color="A6A6A6"/>
              <w:left w:val="single" w:sz="4" w:space="0" w:color="A6A6A6"/>
              <w:bottom w:val="single" w:sz="4" w:space="0" w:color="A6A6A6"/>
              <w:right w:val="single" w:sz="4" w:space="0" w:color="A6A6A6"/>
            </w:tcBorders>
            <w:shd w:val="clear" w:color="000000" w:fill="DAE4F3"/>
            <w:noWrap/>
            <w:vAlign w:val="bottom"/>
            <w:hideMark/>
          </w:tcPr>
          <w:p w:rsidR="00A66AD7" w:rsidRPr="00A66AD7" w:rsidRDefault="00A66AD7"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857</w:t>
            </w:r>
          </w:p>
        </w:tc>
        <w:tc>
          <w:tcPr>
            <w:tcW w:w="375" w:type="pct"/>
            <w:tcBorders>
              <w:top w:val="single" w:sz="4" w:space="0" w:color="A6A6A6"/>
              <w:left w:val="single" w:sz="4" w:space="0" w:color="A6A6A6"/>
              <w:bottom w:val="single" w:sz="4" w:space="0" w:color="A6A6A6"/>
              <w:right w:val="single" w:sz="4" w:space="0" w:color="A6A6A6"/>
            </w:tcBorders>
            <w:shd w:val="clear" w:color="000000" w:fill="D6E1F2"/>
            <w:noWrap/>
            <w:vAlign w:val="bottom"/>
            <w:hideMark/>
          </w:tcPr>
          <w:p w:rsidR="00A66AD7" w:rsidRPr="00A66AD7" w:rsidRDefault="00A66AD7"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909</w:t>
            </w:r>
          </w:p>
        </w:tc>
        <w:tc>
          <w:tcPr>
            <w:tcW w:w="375" w:type="pct"/>
            <w:tcBorders>
              <w:top w:val="single" w:sz="4" w:space="0" w:color="A6A6A6"/>
              <w:left w:val="single" w:sz="4" w:space="0" w:color="A6A6A6"/>
              <w:bottom w:val="single" w:sz="4" w:space="0" w:color="A6A6A6"/>
              <w:right w:val="single" w:sz="4" w:space="0" w:color="A6A6A6"/>
            </w:tcBorders>
            <w:shd w:val="clear" w:color="000000" w:fill="DAE4F3"/>
            <w:noWrap/>
            <w:vAlign w:val="bottom"/>
            <w:hideMark/>
          </w:tcPr>
          <w:p w:rsidR="00A66AD7" w:rsidRPr="00A66AD7" w:rsidRDefault="00A66AD7"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862</w:t>
            </w:r>
          </w:p>
        </w:tc>
        <w:tc>
          <w:tcPr>
            <w:tcW w:w="375" w:type="pct"/>
            <w:tcBorders>
              <w:top w:val="single" w:sz="4" w:space="0" w:color="A6A6A6"/>
              <w:left w:val="single" w:sz="4" w:space="0" w:color="A6A6A6"/>
              <w:bottom w:val="single" w:sz="4" w:space="0" w:color="A6A6A6"/>
              <w:right w:val="single" w:sz="4" w:space="0" w:color="A6A6A6"/>
            </w:tcBorders>
            <w:shd w:val="clear" w:color="000000" w:fill="DEE7F5"/>
            <w:noWrap/>
            <w:vAlign w:val="bottom"/>
            <w:hideMark/>
          </w:tcPr>
          <w:p w:rsidR="00A66AD7" w:rsidRPr="00A66AD7" w:rsidRDefault="00A66AD7"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807</w:t>
            </w:r>
          </w:p>
        </w:tc>
        <w:tc>
          <w:tcPr>
            <w:tcW w:w="375" w:type="pct"/>
            <w:tcBorders>
              <w:top w:val="single" w:sz="4" w:space="0" w:color="A6A6A6"/>
              <w:left w:val="single" w:sz="4" w:space="0" w:color="A6A6A6"/>
              <w:bottom w:val="single" w:sz="4" w:space="0" w:color="A6A6A6"/>
              <w:right w:val="single" w:sz="4" w:space="0" w:color="A6A6A6"/>
            </w:tcBorders>
            <w:shd w:val="clear" w:color="000000" w:fill="E2EAF6"/>
            <w:noWrap/>
            <w:vAlign w:val="bottom"/>
            <w:hideMark/>
          </w:tcPr>
          <w:p w:rsidR="00A66AD7" w:rsidRPr="00A66AD7" w:rsidRDefault="00A66AD7"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764</w:t>
            </w:r>
          </w:p>
        </w:tc>
      </w:tr>
      <w:tr w:rsidR="00E67423" w:rsidRPr="00A66AD7" w:rsidTr="00E67423">
        <w:trPr>
          <w:trHeight w:val="227"/>
        </w:trPr>
        <w:tc>
          <w:tcPr>
            <w:tcW w:w="784" w:type="pct"/>
            <w:vMerge w:val="restart"/>
            <w:tcBorders>
              <w:top w:val="single" w:sz="4" w:space="0" w:color="A6A6A6"/>
              <w:left w:val="single" w:sz="4" w:space="0" w:color="A6A6A6"/>
              <w:right w:val="single" w:sz="4" w:space="0" w:color="A6A6A6"/>
            </w:tcBorders>
            <w:shd w:val="clear" w:color="000000" w:fill="DCE6F1"/>
            <w:noWrap/>
            <w:vAlign w:val="center"/>
            <w:hideMark/>
          </w:tcPr>
          <w:p w:rsidR="00E67423" w:rsidRPr="00A66AD7" w:rsidRDefault="00E67423" w:rsidP="00E67423">
            <w:pPr>
              <w:spacing w:after="0" w:line="240" w:lineRule="auto"/>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Regional</w:t>
            </w:r>
          </w:p>
        </w:tc>
        <w:tc>
          <w:tcPr>
            <w:tcW w:w="850" w:type="pct"/>
            <w:vMerge w:val="restart"/>
            <w:tcBorders>
              <w:top w:val="single" w:sz="4" w:space="0" w:color="A6A6A6"/>
              <w:left w:val="single" w:sz="4" w:space="0" w:color="A6A6A6"/>
              <w:right w:val="single" w:sz="4" w:space="0" w:color="A6A6A6"/>
            </w:tcBorders>
            <w:shd w:val="clear" w:color="000000" w:fill="DCE6F1"/>
            <w:noWrap/>
            <w:vAlign w:val="center"/>
          </w:tcPr>
          <w:p w:rsidR="00E67423" w:rsidRPr="00A66AD7" w:rsidRDefault="00E67423" w:rsidP="00E67423">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 xml:space="preserve">Agentur og </w:t>
            </w:r>
            <w:proofErr w:type="spellStart"/>
            <w:r w:rsidRPr="00A66AD7">
              <w:rPr>
                <w:rFonts w:ascii="Arial" w:eastAsia="Times New Roman" w:hAnsi="Arial" w:cs="Arial"/>
                <w:color w:val="000000"/>
                <w:sz w:val="18"/>
                <w:szCs w:val="18"/>
                <w:lang w:eastAsia="nb-NO"/>
              </w:rPr>
              <w:t>Engros</w:t>
            </w:r>
            <w:proofErr w:type="spellEnd"/>
          </w:p>
        </w:tc>
        <w:tc>
          <w:tcPr>
            <w:tcW w:w="375" w:type="pct"/>
            <w:tcBorders>
              <w:top w:val="single" w:sz="4" w:space="0" w:color="A6A6A6"/>
              <w:left w:val="single" w:sz="4" w:space="0" w:color="A6A6A6"/>
              <w:bottom w:val="single" w:sz="4" w:space="0" w:color="A6A6A6"/>
              <w:right w:val="single" w:sz="4" w:space="0" w:color="A6A6A6"/>
            </w:tcBorders>
            <w:shd w:val="clear" w:color="000000" w:fill="F6F8FD"/>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532</w:t>
            </w:r>
          </w:p>
        </w:tc>
        <w:tc>
          <w:tcPr>
            <w:tcW w:w="375" w:type="pct"/>
            <w:tcBorders>
              <w:top w:val="single" w:sz="4" w:space="0" w:color="A6A6A6"/>
              <w:left w:val="single" w:sz="4" w:space="0" w:color="A6A6A6"/>
              <w:bottom w:val="single" w:sz="4" w:space="0" w:color="A6A6A6"/>
              <w:right w:val="single" w:sz="4" w:space="0" w:color="A6A6A6"/>
            </w:tcBorders>
            <w:shd w:val="clear" w:color="000000" w:fill="F8F9FE"/>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505</w:t>
            </w:r>
          </w:p>
        </w:tc>
        <w:tc>
          <w:tcPr>
            <w:tcW w:w="375" w:type="pct"/>
            <w:tcBorders>
              <w:top w:val="single" w:sz="4" w:space="0" w:color="A6A6A6"/>
              <w:left w:val="single" w:sz="4" w:space="0" w:color="A6A6A6"/>
              <w:bottom w:val="single" w:sz="4" w:space="0" w:color="A6A6A6"/>
              <w:right w:val="single" w:sz="4" w:space="0" w:color="A6A6A6"/>
            </w:tcBorders>
            <w:shd w:val="clear" w:color="000000" w:fill="F0F4F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599</w:t>
            </w:r>
          </w:p>
        </w:tc>
        <w:tc>
          <w:tcPr>
            <w:tcW w:w="375" w:type="pct"/>
            <w:tcBorders>
              <w:top w:val="single" w:sz="4" w:space="0" w:color="A6A6A6"/>
              <w:left w:val="single" w:sz="4" w:space="0" w:color="A6A6A6"/>
              <w:bottom w:val="single" w:sz="4" w:space="0" w:color="A6A6A6"/>
              <w:right w:val="single" w:sz="4" w:space="0" w:color="A6A6A6"/>
            </w:tcBorders>
            <w:shd w:val="clear" w:color="000000" w:fill="EEF3F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617</w:t>
            </w:r>
          </w:p>
        </w:tc>
        <w:tc>
          <w:tcPr>
            <w:tcW w:w="375" w:type="pct"/>
            <w:tcBorders>
              <w:top w:val="single" w:sz="4" w:space="0" w:color="A6A6A6"/>
              <w:left w:val="single" w:sz="4" w:space="0" w:color="A6A6A6"/>
              <w:bottom w:val="single" w:sz="4" w:space="0" w:color="A6A6A6"/>
              <w:right w:val="single" w:sz="4" w:space="0" w:color="A6A6A6"/>
            </w:tcBorders>
            <w:shd w:val="clear" w:color="000000" w:fill="EFF3F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610</w:t>
            </w:r>
          </w:p>
        </w:tc>
        <w:tc>
          <w:tcPr>
            <w:tcW w:w="375" w:type="pct"/>
            <w:tcBorders>
              <w:top w:val="single" w:sz="4" w:space="0" w:color="A6A6A6"/>
              <w:left w:val="single" w:sz="4" w:space="0" w:color="A6A6A6"/>
              <w:bottom w:val="single" w:sz="4" w:space="0" w:color="A6A6A6"/>
              <w:right w:val="single" w:sz="4" w:space="0" w:color="A6A6A6"/>
            </w:tcBorders>
            <w:shd w:val="clear" w:color="000000" w:fill="ECF1FA"/>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647</w:t>
            </w:r>
          </w:p>
        </w:tc>
      </w:tr>
      <w:tr w:rsidR="00E67423" w:rsidRPr="00A66AD7" w:rsidTr="00F37EE8">
        <w:trPr>
          <w:trHeight w:val="227"/>
        </w:trPr>
        <w:tc>
          <w:tcPr>
            <w:tcW w:w="784" w:type="pct"/>
            <w:vMerge/>
            <w:tcBorders>
              <w:left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Bygg og anlegg</w:t>
            </w:r>
          </w:p>
        </w:tc>
        <w:tc>
          <w:tcPr>
            <w:tcW w:w="375" w:type="pct"/>
            <w:tcBorders>
              <w:top w:val="single" w:sz="4" w:space="0" w:color="A6A6A6"/>
              <w:left w:val="single" w:sz="4" w:space="0" w:color="A6A6A6"/>
              <w:bottom w:val="single" w:sz="4" w:space="0" w:color="A6A6A6"/>
              <w:right w:val="single" w:sz="4" w:space="0" w:color="A6A6A6"/>
            </w:tcBorders>
            <w:shd w:val="clear" w:color="000000" w:fill="AFC6E4"/>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1 362</w:t>
            </w:r>
          </w:p>
        </w:tc>
        <w:tc>
          <w:tcPr>
            <w:tcW w:w="375" w:type="pct"/>
            <w:tcBorders>
              <w:top w:val="single" w:sz="4" w:space="0" w:color="A6A6A6"/>
              <w:left w:val="single" w:sz="4" w:space="0" w:color="A6A6A6"/>
              <w:bottom w:val="single" w:sz="4" w:space="0" w:color="A6A6A6"/>
              <w:right w:val="single" w:sz="4" w:space="0" w:color="A6A6A6"/>
            </w:tcBorders>
            <w:shd w:val="clear" w:color="000000" w:fill="ACC4E3"/>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1 403</w:t>
            </w:r>
          </w:p>
        </w:tc>
        <w:tc>
          <w:tcPr>
            <w:tcW w:w="375" w:type="pct"/>
            <w:tcBorders>
              <w:top w:val="single" w:sz="4" w:space="0" w:color="A6A6A6"/>
              <w:left w:val="single" w:sz="4" w:space="0" w:color="A6A6A6"/>
              <w:bottom w:val="single" w:sz="4" w:space="0" w:color="A6A6A6"/>
              <w:right w:val="single" w:sz="4" w:space="0" w:color="A6A6A6"/>
            </w:tcBorders>
            <w:shd w:val="clear" w:color="000000" w:fill="8CAED8"/>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1 773</w:t>
            </w:r>
          </w:p>
        </w:tc>
        <w:tc>
          <w:tcPr>
            <w:tcW w:w="375" w:type="pct"/>
            <w:tcBorders>
              <w:top w:val="single" w:sz="4" w:space="0" w:color="A6A6A6"/>
              <w:left w:val="single" w:sz="4" w:space="0" w:color="A6A6A6"/>
              <w:bottom w:val="single" w:sz="4" w:space="0" w:color="A6A6A6"/>
              <w:right w:val="single" w:sz="4" w:space="0" w:color="A6A6A6"/>
            </w:tcBorders>
            <w:shd w:val="clear" w:color="000000" w:fill="9BB8DD"/>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1 600</w:t>
            </w:r>
          </w:p>
        </w:tc>
        <w:tc>
          <w:tcPr>
            <w:tcW w:w="375" w:type="pct"/>
            <w:tcBorders>
              <w:top w:val="single" w:sz="4" w:space="0" w:color="A6A6A6"/>
              <w:left w:val="single" w:sz="4" w:space="0" w:color="A6A6A6"/>
              <w:bottom w:val="single" w:sz="4" w:space="0" w:color="A6A6A6"/>
              <w:right w:val="single" w:sz="4" w:space="0" w:color="A6A6A6"/>
            </w:tcBorders>
            <w:shd w:val="clear" w:color="000000" w:fill="95B4D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1 666</w:t>
            </w:r>
          </w:p>
        </w:tc>
        <w:tc>
          <w:tcPr>
            <w:tcW w:w="375" w:type="pct"/>
            <w:tcBorders>
              <w:top w:val="single" w:sz="4" w:space="0" w:color="A6A6A6"/>
              <w:left w:val="single" w:sz="4" w:space="0" w:color="A6A6A6"/>
              <w:bottom w:val="single" w:sz="4" w:space="0" w:color="A6A6A6"/>
              <w:right w:val="single" w:sz="4" w:space="0" w:color="A6A6A6"/>
            </w:tcBorders>
            <w:shd w:val="clear" w:color="000000" w:fill="97B5DC"/>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1 652</w:t>
            </w:r>
          </w:p>
        </w:tc>
      </w:tr>
      <w:tr w:rsidR="00E67423" w:rsidRPr="00A66AD7" w:rsidTr="00F37EE8">
        <w:trPr>
          <w:trHeight w:val="227"/>
        </w:trPr>
        <w:tc>
          <w:tcPr>
            <w:tcW w:w="784" w:type="pct"/>
            <w:vMerge/>
            <w:tcBorders>
              <w:left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Diverse</w:t>
            </w:r>
          </w:p>
        </w:tc>
        <w:tc>
          <w:tcPr>
            <w:tcW w:w="375" w:type="pct"/>
            <w:tcBorders>
              <w:top w:val="single" w:sz="4" w:space="0" w:color="A6A6A6"/>
              <w:left w:val="single" w:sz="4" w:space="0" w:color="A6A6A6"/>
              <w:bottom w:val="single" w:sz="4" w:space="0" w:color="A6A6A6"/>
              <w:right w:val="single" w:sz="4" w:space="0" w:color="A6A6A6"/>
            </w:tcBorders>
            <w:shd w:val="clear" w:color="000000" w:fill="E7EDF8"/>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709</w:t>
            </w:r>
          </w:p>
        </w:tc>
        <w:tc>
          <w:tcPr>
            <w:tcW w:w="375" w:type="pct"/>
            <w:tcBorders>
              <w:top w:val="single" w:sz="4" w:space="0" w:color="A6A6A6"/>
              <w:left w:val="single" w:sz="4" w:space="0" w:color="A6A6A6"/>
              <w:bottom w:val="single" w:sz="4" w:space="0" w:color="A6A6A6"/>
              <w:right w:val="single" w:sz="4" w:space="0" w:color="A6A6A6"/>
            </w:tcBorders>
            <w:shd w:val="clear" w:color="000000" w:fill="D1DEF0"/>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966</w:t>
            </w:r>
          </w:p>
        </w:tc>
        <w:tc>
          <w:tcPr>
            <w:tcW w:w="375" w:type="pct"/>
            <w:tcBorders>
              <w:top w:val="single" w:sz="4" w:space="0" w:color="A6A6A6"/>
              <w:left w:val="single" w:sz="4" w:space="0" w:color="A6A6A6"/>
              <w:bottom w:val="single" w:sz="4" w:space="0" w:color="A6A6A6"/>
              <w:right w:val="single" w:sz="4" w:space="0" w:color="A6A6A6"/>
            </w:tcBorders>
            <w:shd w:val="clear" w:color="000000" w:fill="CAD9EE"/>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1 049</w:t>
            </w:r>
          </w:p>
        </w:tc>
        <w:tc>
          <w:tcPr>
            <w:tcW w:w="375" w:type="pct"/>
            <w:tcBorders>
              <w:top w:val="single" w:sz="4" w:space="0" w:color="A6A6A6"/>
              <w:left w:val="single" w:sz="4" w:space="0" w:color="A6A6A6"/>
              <w:bottom w:val="single" w:sz="4" w:space="0" w:color="A6A6A6"/>
              <w:right w:val="single" w:sz="4" w:space="0" w:color="A6A6A6"/>
            </w:tcBorders>
            <w:shd w:val="clear" w:color="000000" w:fill="CAD9EE"/>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1 047</w:t>
            </w:r>
          </w:p>
        </w:tc>
        <w:tc>
          <w:tcPr>
            <w:tcW w:w="375" w:type="pct"/>
            <w:tcBorders>
              <w:top w:val="single" w:sz="4" w:space="0" w:color="A6A6A6"/>
              <w:left w:val="single" w:sz="4" w:space="0" w:color="A6A6A6"/>
              <w:bottom w:val="single" w:sz="4" w:space="0" w:color="A6A6A6"/>
              <w:right w:val="single" w:sz="4" w:space="0" w:color="A6A6A6"/>
            </w:tcBorders>
            <w:shd w:val="clear" w:color="000000" w:fill="C7D7ED"/>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1 080</w:t>
            </w:r>
          </w:p>
        </w:tc>
        <w:tc>
          <w:tcPr>
            <w:tcW w:w="375" w:type="pct"/>
            <w:tcBorders>
              <w:top w:val="single" w:sz="4" w:space="0" w:color="A6A6A6"/>
              <w:left w:val="single" w:sz="4" w:space="0" w:color="A6A6A6"/>
              <w:bottom w:val="single" w:sz="4" w:space="0" w:color="A6A6A6"/>
              <w:right w:val="single" w:sz="4" w:space="0" w:color="A6A6A6"/>
            </w:tcBorders>
            <w:shd w:val="clear" w:color="000000" w:fill="C8D8ED"/>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1 066</w:t>
            </w:r>
          </w:p>
        </w:tc>
      </w:tr>
      <w:tr w:rsidR="00E67423" w:rsidRPr="00A66AD7" w:rsidTr="00F37EE8">
        <w:trPr>
          <w:trHeight w:val="227"/>
        </w:trPr>
        <w:tc>
          <w:tcPr>
            <w:tcW w:w="784" w:type="pct"/>
            <w:vMerge/>
            <w:tcBorders>
              <w:left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Finans, eiendom, ut</w:t>
            </w:r>
            <w:r w:rsidR="005A5478">
              <w:rPr>
                <w:rFonts w:ascii="Arial" w:eastAsia="Times New Roman" w:hAnsi="Arial" w:cs="Arial"/>
                <w:color w:val="000000"/>
                <w:sz w:val="18"/>
                <w:szCs w:val="18"/>
                <w:lang w:eastAsia="nb-NO"/>
              </w:rPr>
              <w:t>l</w:t>
            </w:r>
            <w:r w:rsidRPr="00A66AD7">
              <w:rPr>
                <w:rFonts w:ascii="Arial" w:eastAsia="Times New Roman" w:hAnsi="Arial" w:cs="Arial"/>
                <w:color w:val="000000"/>
                <w:sz w:val="18"/>
                <w:szCs w:val="18"/>
                <w:lang w:eastAsia="nb-NO"/>
              </w:rPr>
              <w:t>eie</w:t>
            </w:r>
          </w:p>
        </w:tc>
        <w:tc>
          <w:tcPr>
            <w:tcW w:w="375" w:type="pct"/>
            <w:tcBorders>
              <w:top w:val="single" w:sz="4" w:space="0" w:color="A6A6A6"/>
              <w:left w:val="single" w:sz="4" w:space="0" w:color="A6A6A6"/>
              <w:bottom w:val="single" w:sz="4" w:space="0" w:color="A6A6A6"/>
              <w:right w:val="single" w:sz="4" w:space="0" w:color="A6A6A6"/>
            </w:tcBorders>
            <w:shd w:val="clear" w:color="000000" w:fill="FBEAED"/>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398</w:t>
            </w:r>
          </w:p>
        </w:tc>
        <w:tc>
          <w:tcPr>
            <w:tcW w:w="375" w:type="pct"/>
            <w:tcBorders>
              <w:top w:val="single" w:sz="4" w:space="0" w:color="A6A6A6"/>
              <w:left w:val="single" w:sz="4" w:space="0" w:color="A6A6A6"/>
              <w:bottom w:val="single" w:sz="4" w:space="0" w:color="A6A6A6"/>
              <w:right w:val="single" w:sz="4" w:space="0" w:color="A6A6A6"/>
            </w:tcBorders>
            <w:shd w:val="clear" w:color="000000" w:fill="FCFCFF"/>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453</w:t>
            </w:r>
          </w:p>
        </w:tc>
        <w:tc>
          <w:tcPr>
            <w:tcW w:w="375" w:type="pct"/>
            <w:tcBorders>
              <w:top w:val="single" w:sz="4" w:space="0" w:color="A6A6A6"/>
              <w:left w:val="single" w:sz="4" w:space="0" w:color="A6A6A6"/>
              <w:bottom w:val="single" w:sz="4" w:space="0" w:color="A6A6A6"/>
              <w:right w:val="single" w:sz="4" w:space="0" w:color="A6A6A6"/>
            </w:tcBorders>
            <w:shd w:val="clear" w:color="000000" w:fill="FBFBFE"/>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449</w:t>
            </w:r>
          </w:p>
        </w:tc>
        <w:tc>
          <w:tcPr>
            <w:tcW w:w="375" w:type="pct"/>
            <w:tcBorders>
              <w:top w:val="single" w:sz="4" w:space="0" w:color="A6A6A6"/>
              <w:left w:val="single" w:sz="4" w:space="0" w:color="A6A6A6"/>
              <w:bottom w:val="single" w:sz="4" w:space="0" w:color="A6A6A6"/>
              <w:right w:val="single" w:sz="4" w:space="0" w:color="A6A6A6"/>
            </w:tcBorders>
            <w:shd w:val="clear" w:color="000000" w:fill="FBF1F4"/>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420</w:t>
            </w:r>
          </w:p>
        </w:tc>
        <w:tc>
          <w:tcPr>
            <w:tcW w:w="375" w:type="pct"/>
            <w:tcBorders>
              <w:top w:val="single" w:sz="4" w:space="0" w:color="A6A6A6"/>
              <w:left w:val="single" w:sz="4" w:space="0" w:color="A6A6A6"/>
              <w:bottom w:val="single" w:sz="4" w:space="0" w:color="A6A6A6"/>
              <w:right w:val="single" w:sz="4" w:space="0" w:color="A6A6A6"/>
            </w:tcBorders>
            <w:shd w:val="clear" w:color="000000" w:fill="FBF6F9"/>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434</w:t>
            </w:r>
          </w:p>
        </w:tc>
        <w:tc>
          <w:tcPr>
            <w:tcW w:w="375" w:type="pct"/>
            <w:tcBorders>
              <w:top w:val="single" w:sz="4" w:space="0" w:color="A6A6A6"/>
              <w:left w:val="single" w:sz="4" w:space="0" w:color="A6A6A6"/>
              <w:bottom w:val="single" w:sz="4" w:space="0" w:color="A6A6A6"/>
              <w:right w:val="single" w:sz="4" w:space="0" w:color="A6A6A6"/>
            </w:tcBorders>
            <w:shd w:val="clear" w:color="000000" w:fill="FBF8F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440</w:t>
            </w:r>
          </w:p>
        </w:tc>
      </w:tr>
      <w:tr w:rsidR="00E67423" w:rsidRPr="00A66AD7" w:rsidTr="00F37EE8">
        <w:trPr>
          <w:trHeight w:val="227"/>
        </w:trPr>
        <w:tc>
          <w:tcPr>
            <w:tcW w:w="784" w:type="pct"/>
            <w:vMerge/>
            <w:tcBorders>
              <w:left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proofErr w:type="spellStart"/>
            <w:r w:rsidRPr="00A66AD7">
              <w:rPr>
                <w:rFonts w:ascii="Arial" w:eastAsia="Times New Roman" w:hAnsi="Arial" w:cs="Arial"/>
                <w:color w:val="000000"/>
                <w:sz w:val="18"/>
                <w:szCs w:val="18"/>
                <w:lang w:eastAsia="nb-NO"/>
              </w:rPr>
              <w:t>Forr</w:t>
            </w:r>
            <w:proofErr w:type="spellEnd"/>
            <w:r w:rsidRPr="00A66AD7">
              <w:rPr>
                <w:rFonts w:ascii="Arial" w:eastAsia="Times New Roman" w:hAnsi="Arial" w:cs="Arial"/>
                <w:color w:val="000000"/>
                <w:sz w:val="18"/>
                <w:szCs w:val="18"/>
                <w:lang w:eastAsia="nb-NO"/>
              </w:rPr>
              <w:t xml:space="preserve"> tjenesteyting</w:t>
            </w:r>
          </w:p>
        </w:tc>
        <w:tc>
          <w:tcPr>
            <w:tcW w:w="375" w:type="pct"/>
            <w:tcBorders>
              <w:top w:val="single" w:sz="4" w:space="0" w:color="A6A6A6"/>
              <w:left w:val="single" w:sz="4" w:space="0" w:color="A6A6A6"/>
              <w:bottom w:val="single" w:sz="4" w:space="0" w:color="A6A6A6"/>
              <w:right w:val="single" w:sz="4" w:space="0" w:color="A6A6A6"/>
            </w:tcBorders>
            <w:shd w:val="clear" w:color="000000" w:fill="FBFBFF"/>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472</w:t>
            </w:r>
          </w:p>
        </w:tc>
        <w:tc>
          <w:tcPr>
            <w:tcW w:w="375" w:type="pct"/>
            <w:tcBorders>
              <w:top w:val="single" w:sz="4" w:space="0" w:color="A6A6A6"/>
              <w:left w:val="single" w:sz="4" w:space="0" w:color="A6A6A6"/>
              <w:bottom w:val="single" w:sz="4" w:space="0" w:color="A6A6A6"/>
              <w:right w:val="single" w:sz="4" w:space="0" w:color="A6A6A6"/>
            </w:tcBorders>
            <w:shd w:val="clear" w:color="000000" w:fill="EFF3F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613</w:t>
            </w:r>
          </w:p>
        </w:tc>
        <w:tc>
          <w:tcPr>
            <w:tcW w:w="375" w:type="pct"/>
            <w:tcBorders>
              <w:top w:val="single" w:sz="4" w:space="0" w:color="A6A6A6"/>
              <w:left w:val="single" w:sz="4" w:space="0" w:color="A6A6A6"/>
              <w:bottom w:val="single" w:sz="4" w:space="0" w:color="A6A6A6"/>
              <w:right w:val="single" w:sz="4" w:space="0" w:color="A6A6A6"/>
            </w:tcBorders>
            <w:shd w:val="clear" w:color="000000" w:fill="ECF1FA"/>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648</w:t>
            </w:r>
          </w:p>
        </w:tc>
        <w:tc>
          <w:tcPr>
            <w:tcW w:w="375" w:type="pct"/>
            <w:tcBorders>
              <w:top w:val="single" w:sz="4" w:space="0" w:color="A6A6A6"/>
              <w:left w:val="single" w:sz="4" w:space="0" w:color="A6A6A6"/>
              <w:bottom w:val="single" w:sz="4" w:space="0" w:color="A6A6A6"/>
              <w:right w:val="single" w:sz="4" w:space="0" w:color="A6A6A6"/>
            </w:tcBorders>
            <w:shd w:val="clear" w:color="000000" w:fill="EFF3FB"/>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610</w:t>
            </w:r>
          </w:p>
        </w:tc>
        <w:tc>
          <w:tcPr>
            <w:tcW w:w="375" w:type="pct"/>
            <w:tcBorders>
              <w:top w:val="single" w:sz="4" w:space="0" w:color="A6A6A6"/>
              <w:left w:val="single" w:sz="4" w:space="0" w:color="A6A6A6"/>
              <w:bottom w:val="single" w:sz="4" w:space="0" w:color="A6A6A6"/>
              <w:right w:val="single" w:sz="4" w:space="0" w:color="A6A6A6"/>
            </w:tcBorders>
            <w:shd w:val="clear" w:color="000000" w:fill="EAEFF9"/>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673</w:t>
            </w:r>
          </w:p>
        </w:tc>
        <w:tc>
          <w:tcPr>
            <w:tcW w:w="375" w:type="pct"/>
            <w:tcBorders>
              <w:top w:val="single" w:sz="4" w:space="0" w:color="A6A6A6"/>
              <w:left w:val="single" w:sz="4" w:space="0" w:color="A6A6A6"/>
              <w:bottom w:val="single" w:sz="4" w:space="0" w:color="A6A6A6"/>
              <w:right w:val="single" w:sz="4" w:space="0" w:color="A6A6A6"/>
            </w:tcBorders>
            <w:shd w:val="clear" w:color="000000" w:fill="EBF0F9"/>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652</w:t>
            </w:r>
          </w:p>
        </w:tc>
      </w:tr>
      <w:tr w:rsidR="00E67423" w:rsidRPr="00A66AD7" w:rsidTr="00F37EE8">
        <w:trPr>
          <w:trHeight w:val="227"/>
        </w:trPr>
        <w:tc>
          <w:tcPr>
            <w:tcW w:w="784" w:type="pct"/>
            <w:vMerge/>
            <w:tcBorders>
              <w:left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Transport</w:t>
            </w:r>
          </w:p>
        </w:tc>
        <w:tc>
          <w:tcPr>
            <w:tcW w:w="375" w:type="pct"/>
            <w:tcBorders>
              <w:top w:val="single" w:sz="4" w:space="0" w:color="A6A6A6"/>
              <w:left w:val="single" w:sz="4" w:space="0" w:color="A6A6A6"/>
              <w:bottom w:val="single" w:sz="4" w:space="0" w:color="A6A6A6"/>
              <w:right w:val="single" w:sz="4" w:space="0" w:color="A6A6A6"/>
            </w:tcBorders>
            <w:shd w:val="clear" w:color="000000" w:fill="CBDAEE"/>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1 031</w:t>
            </w:r>
          </w:p>
        </w:tc>
        <w:tc>
          <w:tcPr>
            <w:tcW w:w="375" w:type="pct"/>
            <w:tcBorders>
              <w:top w:val="single" w:sz="4" w:space="0" w:color="A6A6A6"/>
              <w:left w:val="single" w:sz="4" w:space="0" w:color="A6A6A6"/>
              <w:bottom w:val="single" w:sz="4" w:space="0" w:color="A6A6A6"/>
              <w:right w:val="single" w:sz="4" w:space="0" w:color="A6A6A6"/>
            </w:tcBorders>
            <w:shd w:val="clear" w:color="000000" w:fill="D1DEF0"/>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959</w:t>
            </w:r>
          </w:p>
        </w:tc>
        <w:tc>
          <w:tcPr>
            <w:tcW w:w="375" w:type="pct"/>
            <w:tcBorders>
              <w:top w:val="single" w:sz="4" w:space="0" w:color="A6A6A6"/>
              <w:left w:val="single" w:sz="4" w:space="0" w:color="A6A6A6"/>
              <w:bottom w:val="single" w:sz="4" w:space="0" w:color="A6A6A6"/>
              <w:right w:val="single" w:sz="4" w:space="0" w:color="A6A6A6"/>
            </w:tcBorders>
            <w:shd w:val="clear" w:color="000000" w:fill="D7E2F2"/>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895</w:t>
            </w:r>
          </w:p>
        </w:tc>
        <w:tc>
          <w:tcPr>
            <w:tcW w:w="375" w:type="pct"/>
            <w:tcBorders>
              <w:top w:val="single" w:sz="4" w:space="0" w:color="A6A6A6"/>
              <w:left w:val="single" w:sz="4" w:space="0" w:color="A6A6A6"/>
              <w:bottom w:val="single" w:sz="4" w:space="0" w:color="A6A6A6"/>
              <w:right w:val="single" w:sz="4" w:space="0" w:color="A6A6A6"/>
            </w:tcBorders>
            <w:shd w:val="clear" w:color="000000" w:fill="DBE5F4"/>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842</w:t>
            </w:r>
          </w:p>
        </w:tc>
        <w:tc>
          <w:tcPr>
            <w:tcW w:w="375" w:type="pct"/>
            <w:tcBorders>
              <w:top w:val="single" w:sz="4" w:space="0" w:color="A6A6A6"/>
              <w:left w:val="single" w:sz="4" w:space="0" w:color="A6A6A6"/>
              <w:bottom w:val="single" w:sz="4" w:space="0" w:color="A6A6A6"/>
              <w:right w:val="single" w:sz="4" w:space="0" w:color="A6A6A6"/>
            </w:tcBorders>
            <w:shd w:val="clear" w:color="000000" w:fill="DBE5F4"/>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847</w:t>
            </w:r>
          </w:p>
        </w:tc>
        <w:tc>
          <w:tcPr>
            <w:tcW w:w="375" w:type="pct"/>
            <w:tcBorders>
              <w:top w:val="single" w:sz="4" w:space="0" w:color="A6A6A6"/>
              <w:left w:val="single" w:sz="4" w:space="0" w:color="A6A6A6"/>
              <w:bottom w:val="single" w:sz="4" w:space="0" w:color="A6A6A6"/>
              <w:right w:val="single" w:sz="4" w:space="0" w:color="A6A6A6"/>
            </w:tcBorders>
            <w:shd w:val="clear" w:color="000000" w:fill="DDE6F4"/>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824</w:t>
            </w:r>
          </w:p>
        </w:tc>
      </w:tr>
      <w:tr w:rsidR="00E67423" w:rsidRPr="00A66AD7" w:rsidTr="00F37EE8">
        <w:trPr>
          <w:trHeight w:val="227"/>
        </w:trPr>
        <w:tc>
          <w:tcPr>
            <w:tcW w:w="784" w:type="pct"/>
            <w:vMerge/>
            <w:tcBorders>
              <w:left w:val="single" w:sz="4" w:space="0" w:color="A6A6A6"/>
              <w:bottom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b/>
                <w:bCs/>
                <w:color w:val="000000"/>
                <w:sz w:val="18"/>
                <w:szCs w:val="18"/>
                <w:lang w:eastAsia="nb-NO"/>
              </w:rPr>
            </w:pPr>
          </w:p>
        </w:tc>
        <w:tc>
          <w:tcPr>
            <w:tcW w:w="850" w:type="pct"/>
            <w:vMerge/>
            <w:tcBorders>
              <w:left w:val="single" w:sz="4" w:space="0" w:color="A6A6A6"/>
              <w:bottom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b/>
                <w:bCs/>
                <w:color w:val="000000"/>
                <w:sz w:val="18"/>
                <w:szCs w:val="18"/>
                <w:lang w:eastAsia="nb-NO"/>
              </w:rPr>
            </w:pPr>
          </w:p>
        </w:tc>
        <w:tc>
          <w:tcPr>
            <w:tcW w:w="1115" w:type="pct"/>
            <w:tcBorders>
              <w:top w:val="nil"/>
              <w:left w:val="nil"/>
              <w:bottom w:val="single" w:sz="4" w:space="0" w:color="A6A6A6"/>
              <w:right w:val="single" w:sz="4" w:space="0" w:color="A6A6A6"/>
            </w:tcBorders>
            <w:shd w:val="clear" w:color="000000" w:fill="DCE6F1"/>
            <w:noWrap/>
            <w:vAlign w:val="bottom"/>
            <w:hideMark/>
          </w:tcPr>
          <w:p w:rsidR="00E67423" w:rsidRPr="00A66AD7" w:rsidRDefault="00E67423" w:rsidP="00A66AD7">
            <w:pPr>
              <w:spacing w:after="0" w:line="240" w:lineRule="auto"/>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Utleie av arbeidskraft</w:t>
            </w:r>
          </w:p>
        </w:tc>
        <w:tc>
          <w:tcPr>
            <w:tcW w:w="375" w:type="pct"/>
            <w:tcBorders>
              <w:top w:val="single" w:sz="4" w:space="0" w:color="A6A6A6"/>
              <w:left w:val="single" w:sz="4" w:space="0" w:color="A6A6A6"/>
              <w:bottom w:val="single" w:sz="4" w:space="0" w:color="A6A6A6"/>
              <w:right w:val="single" w:sz="4" w:space="0" w:color="A6A6A6"/>
            </w:tcBorders>
            <w:shd w:val="clear" w:color="000000" w:fill="F88082"/>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73</w:t>
            </w:r>
          </w:p>
        </w:tc>
        <w:tc>
          <w:tcPr>
            <w:tcW w:w="375" w:type="pct"/>
            <w:tcBorders>
              <w:top w:val="single" w:sz="4" w:space="0" w:color="A6A6A6"/>
              <w:left w:val="single" w:sz="4" w:space="0" w:color="A6A6A6"/>
              <w:bottom w:val="single" w:sz="4" w:space="0" w:color="A6A6A6"/>
              <w:right w:val="single" w:sz="4" w:space="0" w:color="A6A6A6"/>
            </w:tcBorders>
            <w:shd w:val="clear" w:color="000000" w:fill="F99597"/>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137</w:t>
            </w:r>
          </w:p>
        </w:tc>
        <w:tc>
          <w:tcPr>
            <w:tcW w:w="375" w:type="pct"/>
            <w:tcBorders>
              <w:top w:val="single" w:sz="4" w:space="0" w:color="A6A6A6"/>
              <w:left w:val="single" w:sz="4" w:space="0" w:color="A6A6A6"/>
              <w:bottom w:val="single" w:sz="4" w:space="0" w:color="A6A6A6"/>
              <w:right w:val="single" w:sz="4" w:space="0" w:color="A6A6A6"/>
            </w:tcBorders>
            <w:shd w:val="clear" w:color="000000" w:fill="F7F9FE"/>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513</w:t>
            </w:r>
          </w:p>
        </w:tc>
        <w:tc>
          <w:tcPr>
            <w:tcW w:w="375" w:type="pct"/>
            <w:tcBorders>
              <w:top w:val="single" w:sz="4" w:space="0" w:color="A6A6A6"/>
              <w:left w:val="single" w:sz="4" w:space="0" w:color="A6A6A6"/>
              <w:bottom w:val="single" w:sz="4" w:space="0" w:color="A6A6A6"/>
              <w:right w:val="single" w:sz="4" w:space="0" w:color="A6A6A6"/>
            </w:tcBorders>
            <w:shd w:val="clear" w:color="000000" w:fill="FAB8BA"/>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244</w:t>
            </w:r>
          </w:p>
        </w:tc>
        <w:tc>
          <w:tcPr>
            <w:tcW w:w="375" w:type="pct"/>
            <w:tcBorders>
              <w:top w:val="single" w:sz="4" w:space="0" w:color="A6A6A6"/>
              <w:left w:val="single" w:sz="4" w:space="0" w:color="A6A6A6"/>
              <w:bottom w:val="single" w:sz="4" w:space="0" w:color="A6A6A6"/>
              <w:right w:val="single" w:sz="4" w:space="0" w:color="A6A6A6"/>
            </w:tcBorders>
            <w:shd w:val="clear" w:color="000000" w:fill="FABBBE"/>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254</w:t>
            </w:r>
          </w:p>
        </w:tc>
        <w:tc>
          <w:tcPr>
            <w:tcW w:w="375" w:type="pct"/>
            <w:tcBorders>
              <w:top w:val="single" w:sz="4" w:space="0" w:color="A6A6A6"/>
              <w:left w:val="single" w:sz="4" w:space="0" w:color="A6A6A6"/>
              <w:bottom w:val="single" w:sz="4" w:space="0" w:color="A6A6A6"/>
              <w:right w:val="single" w:sz="4" w:space="0" w:color="A6A6A6"/>
            </w:tcBorders>
            <w:shd w:val="clear" w:color="000000" w:fill="FAB5B7"/>
            <w:noWrap/>
            <w:vAlign w:val="bottom"/>
            <w:hideMark/>
          </w:tcPr>
          <w:p w:rsidR="00E67423" w:rsidRPr="00A66AD7" w:rsidRDefault="00E67423" w:rsidP="00A66AD7">
            <w:pPr>
              <w:spacing w:after="0" w:line="240" w:lineRule="auto"/>
              <w:jc w:val="center"/>
              <w:rPr>
                <w:rFonts w:ascii="Arial" w:eastAsia="Times New Roman" w:hAnsi="Arial" w:cs="Arial"/>
                <w:color w:val="000000"/>
                <w:sz w:val="18"/>
                <w:szCs w:val="18"/>
                <w:lang w:eastAsia="nb-NO"/>
              </w:rPr>
            </w:pPr>
            <w:r w:rsidRPr="00A66AD7">
              <w:rPr>
                <w:rFonts w:ascii="Arial" w:eastAsia="Times New Roman" w:hAnsi="Arial" w:cs="Arial"/>
                <w:color w:val="000000"/>
                <w:sz w:val="18"/>
                <w:szCs w:val="18"/>
                <w:lang w:eastAsia="nb-NO"/>
              </w:rPr>
              <w:t>235</w:t>
            </w:r>
          </w:p>
        </w:tc>
      </w:tr>
      <w:tr w:rsidR="00A66AD7" w:rsidRPr="00A66AD7" w:rsidTr="00E67423">
        <w:trPr>
          <w:trHeight w:val="227"/>
        </w:trPr>
        <w:tc>
          <w:tcPr>
            <w:tcW w:w="784" w:type="pct"/>
            <w:tcBorders>
              <w:top w:val="single" w:sz="4" w:space="0" w:color="366092"/>
              <w:left w:val="nil"/>
              <w:bottom w:val="single" w:sz="8" w:space="0" w:color="366092"/>
              <w:right w:val="nil"/>
            </w:tcBorders>
            <w:shd w:val="clear" w:color="auto" w:fill="auto"/>
            <w:noWrap/>
            <w:vAlign w:val="bottom"/>
            <w:hideMark/>
          </w:tcPr>
          <w:p w:rsidR="00A66AD7" w:rsidRPr="00A66AD7" w:rsidRDefault="00A66AD7" w:rsidP="00A66AD7">
            <w:pPr>
              <w:spacing w:after="0" w:line="240" w:lineRule="auto"/>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Totalsum</w:t>
            </w:r>
          </w:p>
        </w:tc>
        <w:tc>
          <w:tcPr>
            <w:tcW w:w="850" w:type="pct"/>
            <w:tcBorders>
              <w:top w:val="single" w:sz="4" w:space="0" w:color="366092"/>
              <w:left w:val="nil"/>
              <w:bottom w:val="single" w:sz="8" w:space="0" w:color="366092"/>
              <w:right w:val="nil"/>
            </w:tcBorders>
            <w:shd w:val="clear" w:color="auto" w:fill="auto"/>
            <w:noWrap/>
            <w:vAlign w:val="bottom"/>
            <w:hideMark/>
          </w:tcPr>
          <w:p w:rsidR="00A66AD7" w:rsidRPr="00A66AD7" w:rsidRDefault="00A66AD7" w:rsidP="00A66AD7">
            <w:pPr>
              <w:spacing w:after="0" w:line="240" w:lineRule="auto"/>
              <w:rPr>
                <w:rFonts w:ascii="Arial" w:eastAsia="Times New Roman" w:hAnsi="Arial" w:cs="Arial"/>
                <w:b/>
                <w:bCs/>
                <w:color w:val="000000"/>
                <w:sz w:val="18"/>
                <w:szCs w:val="18"/>
                <w:lang w:eastAsia="nb-NO"/>
              </w:rPr>
            </w:pPr>
          </w:p>
        </w:tc>
        <w:tc>
          <w:tcPr>
            <w:tcW w:w="1115" w:type="pct"/>
            <w:tcBorders>
              <w:top w:val="single" w:sz="4" w:space="0" w:color="366092"/>
              <w:left w:val="nil"/>
              <w:bottom w:val="single" w:sz="8" w:space="0" w:color="366092"/>
              <w:right w:val="nil"/>
            </w:tcBorders>
            <w:shd w:val="clear" w:color="auto" w:fill="auto"/>
            <w:noWrap/>
            <w:vAlign w:val="bottom"/>
            <w:hideMark/>
          </w:tcPr>
          <w:p w:rsidR="00A66AD7" w:rsidRPr="00A66AD7" w:rsidRDefault="00A66AD7" w:rsidP="00A66AD7">
            <w:pPr>
              <w:spacing w:after="0" w:line="240" w:lineRule="auto"/>
              <w:rPr>
                <w:rFonts w:ascii="Times New Roman" w:eastAsia="Times New Roman" w:hAnsi="Times New Roman"/>
                <w:szCs w:val="20"/>
                <w:lang w:eastAsia="nb-NO"/>
              </w:rPr>
            </w:pPr>
          </w:p>
        </w:tc>
        <w:tc>
          <w:tcPr>
            <w:tcW w:w="375" w:type="pct"/>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A66AD7" w:rsidRPr="00A66AD7" w:rsidRDefault="00A66AD7" w:rsidP="00A66AD7">
            <w:pPr>
              <w:spacing w:after="0" w:line="240" w:lineRule="auto"/>
              <w:jc w:val="center"/>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13 577</w:t>
            </w:r>
          </w:p>
        </w:tc>
        <w:tc>
          <w:tcPr>
            <w:tcW w:w="375" w:type="pct"/>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A66AD7" w:rsidRPr="00A66AD7" w:rsidRDefault="00A66AD7" w:rsidP="00A66AD7">
            <w:pPr>
              <w:spacing w:after="0" w:line="240" w:lineRule="auto"/>
              <w:jc w:val="center"/>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13 534</w:t>
            </w:r>
          </w:p>
        </w:tc>
        <w:tc>
          <w:tcPr>
            <w:tcW w:w="375" w:type="pct"/>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A66AD7" w:rsidRPr="00A66AD7" w:rsidRDefault="00A66AD7" w:rsidP="00A66AD7">
            <w:pPr>
              <w:spacing w:after="0" w:line="240" w:lineRule="auto"/>
              <w:jc w:val="center"/>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14 486</w:t>
            </w:r>
          </w:p>
        </w:tc>
        <w:tc>
          <w:tcPr>
            <w:tcW w:w="375" w:type="pct"/>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A66AD7" w:rsidRPr="00A66AD7" w:rsidRDefault="00A66AD7" w:rsidP="00A66AD7">
            <w:pPr>
              <w:spacing w:after="0" w:line="240" w:lineRule="auto"/>
              <w:jc w:val="center"/>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13 105</w:t>
            </w:r>
          </w:p>
        </w:tc>
        <w:tc>
          <w:tcPr>
            <w:tcW w:w="375" w:type="pct"/>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A66AD7" w:rsidRPr="00A66AD7" w:rsidRDefault="00A66AD7" w:rsidP="00A66AD7">
            <w:pPr>
              <w:spacing w:after="0" w:line="240" w:lineRule="auto"/>
              <w:jc w:val="center"/>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13 189</w:t>
            </w:r>
          </w:p>
        </w:tc>
        <w:tc>
          <w:tcPr>
            <w:tcW w:w="375" w:type="pct"/>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A66AD7" w:rsidRPr="00A66AD7" w:rsidRDefault="00A66AD7" w:rsidP="00A66AD7">
            <w:pPr>
              <w:spacing w:after="0" w:line="240" w:lineRule="auto"/>
              <w:jc w:val="center"/>
              <w:rPr>
                <w:rFonts w:ascii="Arial" w:eastAsia="Times New Roman" w:hAnsi="Arial" w:cs="Arial"/>
                <w:b/>
                <w:bCs/>
                <w:color w:val="000000"/>
                <w:sz w:val="18"/>
                <w:szCs w:val="18"/>
                <w:lang w:eastAsia="nb-NO"/>
              </w:rPr>
            </w:pPr>
            <w:r w:rsidRPr="00A66AD7">
              <w:rPr>
                <w:rFonts w:ascii="Arial" w:eastAsia="Times New Roman" w:hAnsi="Arial" w:cs="Arial"/>
                <w:b/>
                <w:bCs/>
                <w:color w:val="000000"/>
                <w:sz w:val="18"/>
                <w:szCs w:val="18"/>
                <w:lang w:eastAsia="nb-NO"/>
              </w:rPr>
              <w:t>12 882</w:t>
            </w:r>
          </w:p>
        </w:tc>
      </w:tr>
    </w:tbl>
    <w:p w:rsidR="002623B6" w:rsidRDefault="002623B6" w:rsidP="00F26359"/>
    <w:p w:rsidR="00CE6A59" w:rsidRDefault="00CE6A59" w:rsidP="00CE6A59">
      <w:r>
        <w:t xml:space="preserve">I tabellen over ser vi hvilke bransjer som inngår i de strategiske næringstypene, og vi ser antall arbeidsplasser i hver bransje. Det er denne utviklingen i antall ansatte </w:t>
      </w:r>
      <w:r w:rsidR="00D5588C">
        <w:t xml:space="preserve">i </w:t>
      </w:r>
      <w:r>
        <w:t xml:space="preserve">disse bransjene og </w:t>
      </w:r>
      <w:r w:rsidR="00E67423">
        <w:t>næringstypene</w:t>
      </w:r>
      <w:r>
        <w:t xml:space="preserve"> som til sammen utgjør hele næringslivet</w:t>
      </w:r>
      <w:r w:rsidR="0000462E">
        <w:t>, og</w:t>
      </w:r>
      <w:r>
        <w:t xml:space="preserve"> som vi ønsker å analysere og forstå.</w:t>
      </w:r>
    </w:p>
    <w:p w:rsidR="000D754C" w:rsidRDefault="000D754C" w:rsidP="00CE6A59">
      <w:r>
        <w:t xml:space="preserve">Vi kan se at </w:t>
      </w:r>
      <w:proofErr w:type="spellStart"/>
      <w:r>
        <w:t>Glåm</w:t>
      </w:r>
      <w:r w:rsidR="004C41BA">
        <w:t>dal</w:t>
      </w:r>
      <w:proofErr w:type="spellEnd"/>
      <w:r w:rsidR="004C41BA">
        <w:t xml:space="preserve"> har mange arbeidsplasser i l</w:t>
      </w:r>
      <w:r>
        <w:t>andbruk, verkstedindustri, prosessindustri og anna industri i basisnæringene. I alle disse bransjene har antall arbeidsplasser sunket ganske mye.</w:t>
      </w:r>
    </w:p>
    <w:p w:rsidR="00482355" w:rsidRDefault="000D754C" w:rsidP="00482355">
      <w:r>
        <w:t>Det er også mange arbeidsplasser i handel, men her har antall arbeidsplasser stått stille.</w:t>
      </w:r>
    </w:p>
    <w:p w:rsidR="000D754C" w:rsidRPr="00482355" w:rsidRDefault="000D754C" w:rsidP="00482355">
      <w:r>
        <w:t>De regionale næringene</w:t>
      </w:r>
      <w:r w:rsidR="0000462E">
        <w:t xml:space="preserve"> har flest arbeidsplasser, og </w:t>
      </w:r>
      <w:r>
        <w:t>alle bransjer i de regionale næringene unntatt transport har hatt vekst i antall arbeidsplasser.</w:t>
      </w:r>
    </w:p>
    <w:p w:rsidR="00482355" w:rsidRDefault="00482355" w:rsidP="00F26359"/>
    <w:p w:rsidR="00482355" w:rsidRDefault="00482355" w:rsidP="00F26359">
      <w:pPr>
        <w:sectPr w:rsidR="00482355" w:rsidSect="00687F25">
          <w:type w:val="continuous"/>
          <w:pgSz w:w="11907" w:h="16840" w:code="9"/>
          <w:pgMar w:top="1440" w:right="1080" w:bottom="1440" w:left="1080" w:header="709" w:footer="709" w:gutter="0"/>
          <w:cols w:space="708"/>
          <w:docGrid w:linePitch="360"/>
        </w:sectPr>
      </w:pPr>
    </w:p>
    <w:p w:rsidR="00482355" w:rsidRDefault="00482355">
      <w:pPr>
        <w:spacing w:after="0" w:line="240" w:lineRule="auto"/>
        <w:rPr>
          <w:rFonts w:cs="Arial"/>
          <w:b/>
          <w:sz w:val="28"/>
        </w:rPr>
      </w:pPr>
      <w:r>
        <w:lastRenderedPageBreak/>
        <w:br w:type="page"/>
      </w:r>
    </w:p>
    <w:p w:rsidR="008F2177" w:rsidRDefault="0077279C" w:rsidP="0077279C">
      <w:pPr>
        <w:pStyle w:val="Overskrift3"/>
      </w:pPr>
      <w:bookmarkStart w:id="23" w:name="_Toc400090050"/>
      <w:r>
        <w:lastRenderedPageBreak/>
        <w:t xml:space="preserve">Næringstyper i </w:t>
      </w:r>
      <w:bookmarkEnd w:id="23"/>
      <w:proofErr w:type="spellStart"/>
      <w:r w:rsidR="002D6A31">
        <w:t>Glåmdal</w:t>
      </w:r>
      <w:proofErr w:type="spellEnd"/>
    </w:p>
    <w:p w:rsidR="0077279C" w:rsidRDefault="00686B64" w:rsidP="0077279C">
      <w:r>
        <w:t xml:space="preserve">Det var </w:t>
      </w:r>
      <w:r w:rsidR="004C41BA">
        <w:t>3 764</w:t>
      </w:r>
      <w:r>
        <w:t xml:space="preserve"> arbeidsplasser i basisnæringene i </w:t>
      </w:r>
      <w:proofErr w:type="spellStart"/>
      <w:r w:rsidR="004C41BA">
        <w:t>Glåmdal</w:t>
      </w:r>
      <w:proofErr w:type="spellEnd"/>
      <w:r w:rsidR="004C41BA">
        <w:t xml:space="preserve"> </w:t>
      </w:r>
      <w:r>
        <w:t>i 2013. Dette tilsvarer 1</w:t>
      </w:r>
      <w:r w:rsidR="004C41BA">
        <w:t>8</w:t>
      </w:r>
      <w:r>
        <w:t xml:space="preserve"> prosent av alle arbeidsplassene. Besøksnæringene er </w:t>
      </w:r>
      <w:r w:rsidR="004C41BA">
        <w:t>mindre</w:t>
      </w:r>
      <w:r w:rsidR="005D2FA5">
        <w:t xml:space="preserve"> enn basisnæringene</w:t>
      </w:r>
      <w:r>
        <w:t xml:space="preserve">. Det var </w:t>
      </w:r>
      <w:r w:rsidR="004C41BA">
        <w:t>2 838</w:t>
      </w:r>
      <w:r>
        <w:t xml:space="preserve"> arbeidsplasser i besøksnæringene i 2013. De regionale næringene er størst. </w:t>
      </w:r>
      <w:r w:rsidR="004C41BA">
        <w:t>27</w:t>
      </w:r>
      <w:r w:rsidR="005D2FA5">
        <w:t xml:space="preserve"> prosent</w:t>
      </w:r>
      <w:r>
        <w:t xml:space="preserve"> av arbeidsplassene i </w:t>
      </w:r>
      <w:r w:rsidR="005D2FA5">
        <w:t>regionen</w:t>
      </w:r>
      <w:r>
        <w:t xml:space="preserve"> er i de regionale næringene. </w:t>
      </w:r>
      <w:r w:rsidR="004C41BA">
        <w:t>29</w:t>
      </w:r>
      <w:r>
        <w:t xml:space="preserve"> prosent av arbeidsplassene i </w:t>
      </w:r>
      <w:proofErr w:type="spellStart"/>
      <w:r w:rsidR="004C41BA">
        <w:t>Glåmdal</w:t>
      </w:r>
      <w:proofErr w:type="spellEnd"/>
      <w:r w:rsidR="004C41BA">
        <w:t xml:space="preserve"> </w:t>
      </w:r>
      <w:r>
        <w:t xml:space="preserve">er i kommunal sektor eller i de lokale næringene. Det var </w:t>
      </w:r>
      <w:r w:rsidR="004C41BA">
        <w:t>2 526</w:t>
      </w:r>
      <w:r>
        <w:t xml:space="preserve"> arbeidsplasser i fylkeskommunal og s</w:t>
      </w:r>
      <w:r w:rsidR="005D2FA5">
        <w:t>tatlig sektor. Dette tilsvarer 12</w:t>
      </w:r>
      <w:r>
        <w:t xml:space="preserve"> prosent av arbeidsplassene. </w:t>
      </w:r>
    </w:p>
    <w:p w:rsidR="0077279C" w:rsidRDefault="0077279C" w:rsidP="0077279C">
      <w:pPr>
        <w:pStyle w:val="Overskrift3"/>
      </w:pPr>
      <w:bookmarkStart w:id="24" w:name="_Toc400090051"/>
      <w:r>
        <w:t xml:space="preserve">Næringstyper i </w:t>
      </w:r>
      <w:proofErr w:type="spellStart"/>
      <w:r w:rsidR="002D6A31">
        <w:t>Glåmdal</w:t>
      </w:r>
      <w:proofErr w:type="spellEnd"/>
      <w:r w:rsidR="002D6A31">
        <w:t xml:space="preserve"> </w:t>
      </w:r>
      <w:r>
        <w:t>som andel av samlet sysselsetting</w:t>
      </w:r>
      <w:bookmarkEnd w:id="24"/>
    </w:p>
    <w:p w:rsidR="0077279C" w:rsidRDefault="00686B64" w:rsidP="0077279C">
      <w:r>
        <w:t xml:space="preserve">Antallet sysselsatte i </w:t>
      </w:r>
      <w:r w:rsidR="005D2FA5">
        <w:t>regionen</w:t>
      </w:r>
      <w:r>
        <w:t xml:space="preserve"> er høyere enn antall arbeidsplasser. </w:t>
      </w:r>
      <w:r w:rsidR="00FA3321">
        <w:t xml:space="preserve">Nettoutpendlingen tilsvarer </w:t>
      </w:r>
      <w:r w:rsidR="004C41BA">
        <w:t>15</w:t>
      </w:r>
      <w:r w:rsidR="00FA3321">
        <w:t xml:space="preserve"> prosent av sysselsettingen. Kakediagrammet til høyre viser at antallet arbeidsplasser privat sektor til sammen utgjør </w:t>
      </w:r>
      <w:r w:rsidR="005D2FA5">
        <w:t>halvparten</w:t>
      </w:r>
      <w:r w:rsidR="00FA3321">
        <w:t xml:space="preserve"> av sysselsettingen i kommunen. </w:t>
      </w:r>
    </w:p>
    <w:p w:rsidR="0077279C" w:rsidRDefault="0077279C" w:rsidP="0077279C">
      <w:pPr>
        <w:pStyle w:val="Overskrift3"/>
      </w:pPr>
      <w:bookmarkStart w:id="25" w:name="_Toc400090052"/>
      <w:r>
        <w:t>Næringstyper i Norge</w:t>
      </w:r>
      <w:bookmarkEnd w:id="25"/>
    </w:p>
    <w:p w:rsidR="005D2FA5" w:rsidRDefault="008D510C" w:rsidP="00F26359">
      <w:pPr>
        <w:rPr>
          <w:bCs/>
        </w:rPr>
      </w:pPr>
      <w:r>
        <w:rPr>
          <w:bCs/>
        </w:rPr>
        <w:t xml:space="preserve">På landsbasis er antall arbeidsplasser og antall sysselsatte det samme. </w:t>
      </w:r>
      <w:r w:rsidR="00777827">
        <w:rPr>
          <w:bCs/>
        </w:rPr>
        <w:t xml:space="preserve">Nesten en tredel av arbeidsplassene er i de regionale næringene. De regionale næringene er den største næringstypen. Basisnæringene utgjør 19 prosent av alle arbeidsplassene på landsbasis. 14 prosent av arbeidsplassene er i besøksnæringene. Fylkeskommunal og statlig sektor står for 13 prosent av arbeidsplassene. De lokale næringene og kommunal sektor står for 22 prosent av sysselsettingen. </w:t>
      </w:r>
    </w:p>
    <w:p w:rsidR="00D14062" w:rsidRDefault="005D2FA5" w:rsidP="00F26359">
      <w:pPr>
        <w:rPr>
          <w:bCs/>
        </w:rPr>
      </w:pPr>
      <w:r>
        <w:rPr>
          <w:bCs/>
        </w:rPr>
        <w:t xml:space="preserve">Vi kan se at </w:t>
      </w:r>
      <w:proofErr w:type="spellStart"/>
      <w:r w:rsidR="004C41BA">
        <w:t>Glåmdal</w:t>
      </w:r>
      <w:proofErr w:type="spellEnd"/>
      <w:r w:rsidR="004C41BA">
        <w:t xml:space="preserve"> </w:t>
      </w:r>
      <w:r>
        <w:rPr>
          <w:bCs/>
        </w:rPr>
        <w:t xml:space="preserve">har mindre andel av </w:t>
      </w:r>
      <w:r w:rsidR="004C41BA">
        <w:rPr>
          <w:bCs/>
        </w:rPr>
        <w:t xml:space="preserve">alle næringstypene enn landet, men høyere andel av arbeidsplassene i lokale </w:t>
      </w:r>
      <w:r w:rsidR="00F13AC3">
        <w:rPr>
          <w:bCs/>
        </w:rPr>
        <w:t xml:space="preserve">næringer </w:t>
      </w:r>
      <w:r w:rsidR="004C41BA">
        <w:rPr>
          <w:bCs/>
        </w:rPr>
        <w:t xml:space="preserve">og </w:t>
      </w:r>
      <w:r w:rsidR="00F13AC3">
        <w:rPr>
          <w:bCs/>
        </w:rPr>
        <w:t xml:space="preserve">i </w:t>
      </w:r>
      <w:r w:rsidR="004C41BA">
        <w:rPr>
          <w:bCs/>
        </w:rPr>
        <w:t>kommunen.</w:t>
      </w:r>
    </w:p>
    <w:p w:rsidR="004C41BA" w:rsidRDefault="004C41BA" w:rsidP="00F26359">
      <w:pPr>
        <w:rPr>
          <w:bCs/>
        </w:rPr>
      </w:pPr>
    </w:p>
    <w:p w:rsidR="00D14062" w:rsidRDefault="002D6A31" w:rsidP="000179C6">
      <w:pPr>
        <w:pStyle w:val="Bildetekst"/>
        <w:rPr>
          <w:bCs w:val="0"/>
        </w:rPr>
      </w:pPr>
      <w:r>
        <w:rPr>
          <w:noProof/>
          <w:lang w:eastAsia="nb-NO"/>
        </w:rPr>
        <w:lastRenderedPageBreak/>
        <w:drawing>
          <wp:inline distT="0" distB="0" distL="0" distR="0">
            <wp:extent cx="2638425" cy="2362200"/>
            <wp:effectExtent l="0" t="0" r="0" b="0"/>
            <wp:docPr id="64" name="Diagram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t xml:space="preserve"> </w:t>
      </w:r>
      <w:r w:rsidR="000179C6">
        <w:t xml:space="preserve">Figur </w:t>
      </w:r>
      <w:r w:rsidR="004B3D9E">
        <w:fldChar w:fldCharType="begin"/>
      </w:r>
      <w:r w:rsidR="000179C6">
        <w:instrText xml:space="preserve"> SEQ Figur \* ARABIC </w:instrText>
      </w:r>
      <w:r w:rsidR="004B3D9E">
        <w:fldChar w:fldCharType="separate"/>
      </w:r>
      <w:r w:rsidR="00CD5BFF">
        <w:rPr>
          <w:noProof/>
        </w:rPr>
        <w:t>14</w:t>
      </w:r>
      <w:r w:rsidR="004B3D9E">
        <w:fldChar w:fldCharType="end"/>
      </w:r>
      <w:r w:rsidR="000179C6">
        <w:t xml:space="preserve">: Antall arbeidsplasser i de ulike næringstypene samt i offentlig sektor i </w:t>
      </w:r>
      <w:proofErr w:type="spellStart"/>
      <w:r>
        <w:t>Glåmdal</w:t>
      </w:r>
      <w:proofErr w:type="spellEnd"/>
      <w:r w:rsidR="000179C6">
        <w:t xml:space="preserve"> i 2013. </w:t>
      </w:r>
    </w:p>
    <w:p w:rsidR="00800E49" w:rsidRDefault="002D6A31" w:rsidP="00F26359">
      <w:pPr>
        <w:rPr>
          <w:bCs/>
        </w:rPr>
      </w:pPr>
      <w:r>
        <w:rPr>
          <w:noProof/>
          <w:lang w:eastAsia="nb-NO"/>
        </w:rPr>
        <w:drawing>
          <wp:inline distT="0" distB="0" distL="0" distR="0">
            <wp:extent cx="2743200" cy="2466975"/>
            <wp:effectExtent l="0" t="0" r="0" b="0"/>
            <wp:docPr id="65" name="Diagram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B0821" w:rsidRDefault="005B0821" w:rsidP="005B0821">
      <w:pPr>
        <w:pStyle w:val="Bildetekst"/>
        <w:rPr>
          <w:bCs w:val="0"/>
        </w:rPr>
      </w:pPr>
      <w:r>
        <w:t xml:space="preserve">Figur </w:t>
      </w:r>
      <w:r w:rsidR="004B3D9E">
        <w:fldChar w:fldCharType="begin"/>
      </w:r>
      <w:r>
        <w:instrText xml:space="preserve"> SEQ Figur \* ARABIC </w:instrText>
      </w:r>
      <w:r w:rsidR="004B3D9E">
        <w:fldChar w:fldCharType="separate"/>
      </w:r>
      <w:r w:rsidR="00CD5BFF">
        <w:rPr>
          <w:noProof/>
        </w:rPr>
        <w:t>15</w:t>
      </w:r>
      <w:r w:rsidR="004B3D9E">
        <w:fldChar w:fldCharType="end"/>
      </w:r>
      <w:r>
        <w:t xml:space="preserve">: Antall arbeidsplasser i </w:t>
      </w:r>
      <w:r w:rsidR="00F6589A">
        <w:t xml:space="preserve">offentlig og privat sektor i </w:t>
      </w:r>
      <w:r w:rsidR="00FF4753">
        <w:t>Notodden</w:t>
      </w:r>
      <w:r w:rsidR="00F6589A">
        <w:t xml:space="preserve"> samt netto utpendling, i 2013. Hele kaken viser samlet sysselsetting. </w:t>
      </w:r>
    </w:p>
    <w:p w:rsidR="00800E49" w:rsidRDefault="00641B68" w:rsidP="00F26359">
      <w:pPr>
        <w:rPr>
          <w:bCs/>
        </w:rPr>
      </w:pPr>
      <w:r>
        <w:rPr>
          <w:noProof/>
          <w:lang w:eastAsia="nb-NO"/>
        </w:rPr>
        <w:drawing>
          <wp:inline distT="0" distB="0" distL="0" distR="0">
            <wp:extent cx="2638425" cy="2204114"/>
            <wp:effectExtent l="0" t="0" r="0" b="57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B2905" w:rsidRDefault="00162013" w:rsidP="000179C6">
      <w:pPr>
        <w:pStyle w:val="Bildetekst"/>
        <w:sectPr w:rsidR="001B2905" w:rsidSect="00687F25">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16</w:t>
      </w:r>
      <w:r w:rsidR="004B3D9E">
        <w:fldChar w:fldCharType="end"/>
      </w:r>
      <w:r>
        <w:t xml:space="preserve">: Antall arbeidsplasser i offentlig og privat sektor i Norge i 2013. På landsbasis er antall arbeidsplasser lik sysselsettingen. </w:t>
      </w:r>
      <w:r w:rsidR="00F453C7">
        <w:br w:type="page"/>
      </w:r>
    </w:p>
    <w:p w:rsidR="001B2905" w:rsidRDefault="00F62795" w:rsidP="00F62795">
      <w:pPr>
        <w:pStyle w:val="Overskrift2"/>
      </w:pPr>
      <w:bookmarkStart w:id="26" w:name="_Toc400090053"/>
      <w:r>
        <w:lastRenderedPageBreak/>
        <w:t>V</w:t>
      </w:r>
      <w:r w:rsidR="002E0ECA">
        <w:t>ekst i næringstypene og</w:t>
      </w:r>
      <w:r>
        <w:t xml:space="preserve"> offentlig sektor</w:t>
      </w:r>
      <w:r w:rsidR="00456932">
        <w:t xml:space="preserve"> i </w:t>
      </w:r>
      <w:bookmarkEnd w:id="26"/>
      <w:proofErr w:type="spellStart"/>
      <w:r w:rsidR="005B0981">
        <w:t>Glåmdal</w:t>
      </w:r>
      <w:proofErr w:type="spellEnd"/>
    </w:p>
    <w:p w:rsidR="001B2905" w:rsidRDefault="002E0ECA" w:rsidP="001B2905">
      <w:r>
        <w:t xml:space="preserve">Figur 17 viser antall arbeidsplasser i de ulike næringstypene og offentlig sektor i </w:t>
      </w:r>
      <w:proofErr w:type="spellStart"/>
      <w:r w:rsidR="005B0981">
        <w:t>Glåmdal</w:t>
      </w:r>
      <w:proofErr w:type="spellEnd"/>
      <w:r w:rsidR="005D2FA5">
        <w:t xml:space="preserve"> </w:t>
      </w:r>
      <w:r>
        <w:t xml:space="preserve">fra 2000 til 2013. </w:t>
      </w:r>
    </w:p>
    <w:p w:rsidR="002E0ECA" w:rsidRDefault="005D2FA5" w:rsidP="001B2905">
      <w:r>
        <w:t xml:space="preserve">Det er lett å se at antall arbeidsplasser i basisnæringen har gått kraftig tilbake, fra </w:t>
      </w:r>
      <w:r w:rsidR="00316306">
        <w:t>5 456</w:t>
      </w:r>
      <w:r>
        <w:t xml:space="preserve"> i 2000 til </w:t>
      </w:r>
      <w:r w:rsidR="00316306">
        <w:t>3 764</w:t>
      </w:r>
      <w:r>
        <w:t xml:space="preserve"> i 2013.</w:t>
      </w:r>
    </w:p>
    <w:p w:rsidR="005D2FA5" w:rsidRDefault="005D2FA5" w:rsidP="001B2905">
      <w:r>
        <w:t xml:space="preserve">Det har vært en vekst i antall arbeidsplasser i </w:t>
      </w:r>
      <w:r w:rsidR="00316306">
        <w:t xml:space="preserve">de regionale næringene og </w:t>
      </w:r>
      <w:r>
        <w:t>lokale næringer og kommunen</w:t>
      </w:r>
      <w:r w:rsidR="008A3511">
        <w:t>. Besøksnæringene og statlig</w:t>
      </w:r>
      <w:r w:rsidR="00316306">
        <w:t xml:space="preserve"> og fylkeskommunal sektor har omtrent samme antall arbeidsplasser i 2013 som i 2000.</w:t>
      </w:r>
    </w:p>
    <w:p w:rsidR="005D2FA5" w:rsidRDefault="00B84D32" w:rsidP="005D2FA5">
      <w:r>
        <w:t xml:space="preserve">Figur 18 viser den indekserte veksten. </w:t>
      </w:r>
      <w:r w:rsidR="005D2FA5">
        <w:t xml:space="preserve">Da ser nedgangen i antall arbeidsplasser i basisnæringene enda mer dramatisk ut. Nedgangen siden 2000 har vært på nesten </w:t>
      </w:r>
      <w:r w:rsidR="00316306">
        <w:t>31</w:t>
      </w:r>
      <w:r w:rsidR="00934D39">
        <w:t xml:space="preserve"> </w:t>
      </w:r>
      <w:r w:rsidR="005D2FA5">
        <w:t>prosent.</w:t>
      </w:r>
    </w:p>
    <w:p w:rsidR="005D2FA5" w:rsidRDefault="00316306" w:rsidP="00316306">
      <w:r>
        <w:t>Antall arbeidsplasser i de regionale næringene har økt med over 20 prosent, til tross for at antall arbeidsplasser har sunket etter 2008. Denne veksten er faktisk litt over veksten som de regionale næringene har hatt på landsbasis fra 2000 til 2013.</w:t>
      </w:r>
    </w:p>
    <w:p w:rsidR="00316306" w:rsidRDefault="00316306" w:rsidP="00316306">
      <w:r>
        <w:t>Veksten i de lokale næringene og kommunen har vært på 5,7 prosent. Der er langt under veksten i resten av landet, som har vært på 21,4 prosent. Det henger nok sammen med at befolkningen har sunket.</w:t>
      </w:r>
    </w:p>
    <w:p w:rsidR="00316306" w:rsidRDefault="00316306" w:rsidP="00316306">
      <w:r>
        <w:t xml:space="preserve">Besøksnæringene har bare hatt en vekst på 1,2 prosent i </w:t>
      </w:r>
      <w:proofErr w:type="spellStart"/>
      <w:r>
        <w:t>Glåmdal</w:t>
      </w:r>
      <w:proofErr w:type="spellEnd"/>
      <w:r>
        <w:t>, mot 13,8 prosent på landsbasis. Også besøksnæringene blir negativt påvirket av svak befolkningsutvikling, som vi skal se nærmere på senere i rapporten.</w:t>
      </w:r>
    </w:p>
    <w:p w:rsidR="00316306" w:rsidRDefault="00316306" w:rsidP="00316306">
      <w:r>
        <w:t xml:space="preserve">Antall arbeidsplasser i stat og fylke økte med 1,2 prosent i </w:t>
      </w:r>
      <w:proofErr w:type="spellStart"/>
      <w:r>
        <w:t>Glåmdal</w:t>
      </w:r>
      <w:proofErr w:type="spellEnd"/>
      <w:r>
        <w:t>. Det er også en langt lavere vekst enn i resten av landet. Antall arbeidsplasser i stat og fylke økte med over 20 prosent i Norge fra 2000 til 2013.</w:t>
      </w:r>
    </w:p>
    <w:p w:rsidR="00316306" w:rsidRDefault="00316306" w:rsidP="00316306"/>
    <w:p w:rsidR="00316306" w:rsidRDefault="00316306" w:rsidP="00316306"/>
    <w:p w:rsidR="001B2905" w:rsidRDefault="001B2905" w:rsidP="005B0981">
      <w:r>
        <w:br w:type="column"/>
      </w:r>
      <w:r w:rsidR="00037464">
        <w:lastRenderedPageBreak/>
        <w:t xml:space="preserve"> </w:t>
      </w:r>
    </w:p>
    <w:p w:rsidR="001B2905" w:rsidRDefault="00316306" w:rsidP="00316306">
      <w:pPr>
        <w:pStyle w:val="Bildetekst"/>
      </w:pPr>
      <w:r>
        <w:rPr>
          <w:noProof/>
          <w:lang w:eastAsia="nb-NO"/>
        </w:rPr>
        <w:drawing>
          <wp:inline distT="0" distB="0" distL="0" distR="0">
            <wp:extent cx="3143250" cy="3276600"/>
            <wp:effectExtent l="0" t="0" r="0" b="0"/>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t xml:space="preserve">Figur </w:t>
      </w:r>
      <w:r w:rsidR="004B3D9E">
        <w:fldChar w:fldCharType="begin"/>
      </w:r>
      <w:r>
        <w:instrText xml:space="preserve"> SEQ Figur \* ARABIC </w:instrText>
      </w:r>
      <w:r w:rsidR="004B3D9E">
        <w:fldChar w:fldCharType="separate"/>
      </w:r>
      <w:r w:rsidR="00CD5BFF">
        <w:rPr>
          <w:noProof/>
        </w:rPr>
        <w:t>17</w:t>
      </w:r>
      <w:r w:rsidR="004B3D9E">
        <w:fldChar w:fldCharType="end"/>
      </w:r>
      <w:r>
        <w:t xml:space="preserve">: Antall arbeidsplasser i de ulike næringstypene og offentlig sektor i </w:t>
      </w:r>
      <w:proofErr w:type="spellStart"/>
      <w:r>
        <w:t>Glåmdal</w:t>
      </w:r>
      <w:proofErr w:type="spellEnd"/>
      <w:r>
        <w:t>.</w:t>
      </w:r>
    </w:p>
    <w:p w:rsidR="0044748C" w:rsidRDefault="005B0981" w:rsidP="001B2905">
      <w:r>
        <w:rPr>
          <w:noProof/>
          <w:lang w:eastAsia="nb-NO"/>
        </w:rPr>
        <w:drawing>
          <wp:inline distT="0" distB="0" distL="0" distR="0">
            <wp:extent cx="3086100" cy="3514725"/>
            <wp:effectExtent l="0" t="0" r="0" b="0"/>
            <wp:docPr id="68" name="Diagram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B2905" w:rsidRDefault="00367496" w:rsidP="00DD472E">
      <w:pPr>
        <w:pStyle w:val="Bildetekst"/>
        <w:sectPr w:rsidR="001B2905" w:rsidSect="00687F25">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18</w:t>
      </w:r>
      <w:r w:rsidR="004B3D9E">
        <w:fldChar w:fldCharType="end"/>
      </w:r>
      <w:r>
        <w:t xml:space="preserve">: Indeksert arbeidsplassutvikling i de ulike næringstypene og i offentlig sektor i </w:t>
      </w:r>
      <w:proofErr w:type="spellStart"/>
      <w:r w:rsidR="005B0981">
        <w:t>Glåmdal</w:t>
      </w:r>
      <w:proofErr w:type="spellEnd"/>
      <w:r>
        <w:t xml:space="preserve"> fra 2000 til 2013. Antall arbeidsplasser i 2000 er indeksert til å være lik 100. </w:t>
      </w:r>
      <w:r w:rsidR="001B2905">
        <w:br w:type="page"/>
      </w:r>
    </w:p>
    <w:p w:rsidR="00693BA6" w:rsidRDefault="0050548C" w:rsidP="00677ACA">
      <w:pPr>
        <w:pStyle w:val="Overskrift2"/>
      </w:pPr>
      <w:bookmarkStart w:id="27" w:name="_Toc400090054"/>
      <w:r>
        <w:lastRenderedPageBreak/>
        <w:t xml:space="preserve">Vekst i næringstypene og </w:t>
      </w:r>
      <w:r w:rsidR="0082360B">
        <w:t>offentlig sektor i Norge</w:t>
      </w:r>
      <w:bookmarkEnd w:id="27"/>
    </w:p>
    <w:p w:rsidR="00693BA6" w:rsidRDefault="0050548C" w:rsidP="00693BA6">
      <w:r>
        <w:t xml:space="preserve">Til høyre ser vi antall arbeidsplasser i Norge fra 2000 til 2013. </w:t>
      </w:r>
      <w:r w:rsidR="005D2FA5">
        <w:t xml:space="preserve">De regionale næringene er den klart største, og hadde nesten 850 000 arbeidsplasser i 2013. </w:t>
      </w:r>
    </w:p>
    <w:p w:rsidR="005D2FA5" w:rsidRDefault="005D2FA5" w:rsidP="00693BA6">
      <w:r>
        <w:t>Lokale næringer og kommunen er nest størst, og hadde 573 451 arbeidsplasser i 2012.</w:t>
      </w:r>
    </w:p>
    <w:p w:rsidR="005D2FA5" w:rsidRDefault="005D2FA5" w:rsidP="00693BA6">
      <w:r>
        <w:t>Basisnæringene ha</w:t>
      </w:r>
      <w:r w:rsidR="005D7118">
        <w:t>r</w:t>
      </w:r>
      <w:r>
        <w:t xml:space="preserve"> litt under 500 000 arbeidsplasser, mens det er 376 104 arbeidsplasser i besøksnæringene. Stat og fylke har til sammen 329 420 arbeidsplasser.</w:t>
      </w:r>
    </w:p>
    <w:p w:rsidR="005D2FA5" w:rsidRDefault="0050548C" w:rsidP="00693BA6">
      <w:r>
        <w:t>Figur 20 viser den indekserte utviklingen</w:t>
      </w:r>
      <w:r w:rsidR="005D2FA5">
        <w:t xml:space="preserve"> i de ulike næringstypene</w:t>
      </w:r>
      <w:r w:rsidR="005D7118">
        <w:t xml:space="preserve"> i Norge</w:t>
      </w:r>
      <w:r>
        <w:t xml:space="preserve">. </w:t>
      </w:r>
    </w:p>
    <w:p w:rsidR="0050548C" w:rsidRDefault="0050548C" w:rsidP="00693BA6">
      <w:r>
        <w:t>Basisnæringene har hatt svake</w:t>
      </w:r>
      <w:r w:rsidR="005D2FA5">
        <w:t>st vekst, og har bare vokst med 3,6 prosent siden 2000. Vi kan også se at basisnæringene svinger mye mer enn de andre næringstypene. Det er basisnæringene som er mest konkurranseutsatt og som derfor blir sterkest påvirket av internasjonale konjunkturer og kriser.</w:t>
      </w:r>
    </w:p>
    <w:p w:rsidR="0050548C" w:rsidRDefault="0050548C" w:rsidP="00693BA6">
      <w:r>
        <w:t xml:space="preserve">Også på landsbasis er det de lokale næringene og kommunal sektor som har vokst mest siden 2000. Dernest er det fylkeskommunal og statlig sektor. </w:t>
      </w:r>
    </w:p>
    <w:p w:rsidR="0050548C" w:rsidRDefault="0050548C" w:rsidP="00693BA6">
      <w:r>
        <w:t>I privat sektor er det de regionale næringene som har hatt kraftigst vekst.</w:t>
      </w:r>
    </w:p>
    <w:p w:rsidR="0050548C" w:rsidRDefault="0050548C" w:rsidP="00693BA6">
      <w:r>
        <w:t xml:space="preserve">Det var 13,8 prosent flere arbeidsplasser i besøksnæringene på landsbasis i 2013 enn i 2000. </w:t>
      </w:r>
    </w:p>
    <w:p w:rsidR="0050548C" w:rsidRDefault="0050548C" w:rsidP="00693BA6">
      <w:r>
        <w:t xml:space="preserve">Av næringstypene i privat sektor ser man tydelig hvordan finanskrisen </w:t>
      </w:r>
      <w:r w:rsidR="00037F6D">
        <w:t>satte en midlertidig stopper for arbeidsplassveksten. Både basisnæringene</w:t>
      </w:r>
      <w:r w:rsidR="00934D39">
        <w:t xml:space="preserve"> og de regionale næringene har t</w:t>
      </w:r>
      <w:r w:rsidR="00037F6D">
        <w:t xml:space="preserve">att seg opp igjen. Besøksnæringene har derimot avtatt de siste årene. </w:t>
      </w:r>
    </w:p>
    <w:p w:rsidR="0050548C" w:rsidRDefault="0050548C" w:rsidP="00693BA6"/>
    <w:p w:rsidR="00693BA6" w:rsidRDefault="00693BA6" w:rsidP="00693BA6">
      <w:r>
        <w:br w:type="column"/>
      </w:r>
      <w:r w:rsidR="009F2E5B">
        <w:rPr>
          <w:noProof/>
          <w:lang w:eastAsia="nb-NO"/>
        </w:rPr>
        <w:lastRenderedPageBreak/>
        <w:drawing>
          <wp:inline distT="0" distB="0" distL="0" distR="0">
            <wp:extent cx="2869565" cy="3315694"/>
            <wp:effectExtent l="0" t="0" r="698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93BA6" w:rsidRDefault="009F2E5B" w:rsidP="009F2E5B">
      <w:pPr>
        <w:pStyle w:val="Bildetekst"/>
      </w:pPr>
      <w:r>
        <w:t xml:space="preserve">Figur </w:t>
      </w:r>
      <w:r w:rsidR="004B3D9E">
        <w:fldChar w:fldCharType="begin"/>
      </w:r>
      <w:r>
        <w:instrText xml:space="preserve"> SEQ Figur \* ARABIC </w:instrText>
      </w:r>
      <w:r w:rsidR="004B3D9E">
        <w:fldChar w:fldCharType="separate"/>
      </w:r>
      <w:r w:rsidR="00CD5BFF">
        <w:rPr>
          <w:noProof/>
        </w:rPr>
        <w:t>19</w:t>
      </w:r>
      <w:r w:rsidR="004B3D9E">
        <w:fldChar w:fldCharType="end"/>
      </w:r>
      <w:r>
        <w:t xml:space="preserve">: </w:t>
      </w:r>
      <w:r w:rsidR="00C350E6">
        <w:t xml:space="preserve">Antall arbeidsplasser i de ulike næringstypene og i offentlig sektor i Norge fra 2000 til 2013. </w:t>
      </w:r>
    </w:p>
    <w:p w:rsidR="00772A34" w:rsidRDefault="00772A34" w:rsidP="00772A34"/>
    <w:p w:rsidR="00772A34" w:rsidRDefault="00772A34" w:rsidP="00772A34">
      <w:r>
        <w:rPr>
          <w:noProof/>
          <w:lang w:eastAsia="nb-NO"/>
        </w:rPr>
        <w:drawing>
          <wp:inline distT="0" distB="0" distL="0" distR="0">
            <wp:extent cx="2869565" cy="3291840"/>
            <wp:effectExtent l="0" t="0" r="6985" b="3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72A34" w:rsidRPr="00772A34" w:rsidRDefault="00505C52" w:rsidP="00505C52">
      <w:pPr>
        <w:pStyle w:val="Bildetekst"/>
      </w:pPr>
      <w:r>
        <w:t xml:space="preserve">Figur </w:t>
      </w:r>
      <w:r w:rsidR="004B3D9E">
        <w:fldChar w:fldCharType="begin"/>
      </w:r>
      <w:r>
        <w:instrText xml:space="preserve"> SEQ Figur \* ARABIC </w:instrText>
      </w:r>
      <w:r w:rsidR="004B3D9E">
        <w:fldChar w:fldCharType="separate"/>
      </w:r>
      <w:r w:rsidR="00CD5BFF">
        <w:rPr>
          <w:noProof/>
        </w:rPr>
        <w:t>20</w:t>
      </w:r>
      <w:r w:rsidR="004B3D9E">
        <w:fldChar w:fldCharType="end"/>
      </w:r>
      <w:r>
        <w:t xml:space="preserve">: Indeksert arbeidsplassvekst i de ulike næringstypene og i offentlig sektor i Norge fra 2000 til 2013. </w:t>
      </w:r>
    </w:p>
    <w:p w:rsidR="00693BA6" w:rsidRDefault="00693BA6" w:rsidP="00693BA6">
      <w:pPr>
        <w:sectPr w:rsidR="00693BA6" w:rsidSect="00687F25">
          <w:type w:val="continuous"/>
          <w:pgSz w:w="11907" w:h="16840" w:code="9"/>
          <w:pgMar w:top="1440" w:right="1080" w:bottom="1440" w:left="1080" w:header="709" w:footer="709" w:gutter="0"/>
          <w:cols w:num="2" w:space="708"/>
          <w:docGrid w:linePitch="360"/>
        </w:sectPr>
      </w:pPr>
    </w:p>
    <w:p w:rsidR="00F00DD7" w:rsidRDefault="00F00DD7" w:rsidP="00F00DD7">
      <w:pPr>
        <w:pStyle w:val="Bildetekst"/>
        <w:sectPr w:rsidR="00F00DD7" w:rsidSect="00687F25">
          <w:type w:val="continuous"/>
          <w:pgSz w:w="11907" w:h="16840" w:code="9"/>
          <w:pgMar w:top="1440" w:right="1080" w:bottom="1440" w:left="1080" w:header="709" w:footer="709" w:gutter="0"/>
          <w:cols w:num="2" w:space="708"/>
          <w:docGrid w:linePitch="360"/>
        </w:sectPr>
      </w:pPr>
      <w:r>
        <w:lastRenderedPageBreak/>
        <w:br w:type="page"/>
      </w:r>
    </w:p>
    <w:p w:rsidR="00076ABF" w:rsidRDefault="00301AEC" w:rsidP="007965E4">
      <w:pPr>
        <w:pStyle w:val="Overskrift2"/>
      </w:pPr>
      <w:bookmarkStart w:id="28" w:name="_Toc400090055"/>
      <w:r>
        <w:lastRenderedPageBreak/>
        <w:t>Strukturelle forhold og attraktivitet</w:t>
      </w:r>
      <w:bookmarkEnd w:id="28"/>
    </w:p>
    <w:p w:rsidR="00301AEC" w:rsidRDefault="00301AEC" w:rsidP="005D7118">
      <w:pPr>
        <w:pStyle w:val="Ingress"/>
        <w:ind w:left="0" w:right="-34"/>
      </w:pPr>
      <w:r>
        <w:t>Vi har nå beskrevet utviklingen i de enkelte strategiske næringstypene. Det neste spørsmålet er hvorfor utviklingen har vært slik. Kan vi avdekke de viktigste drivkreftene bak den faktiske utviklingen?</w:t>
      </w:r>
    </w:p>
    <w:p w:rsidR="00301AEC" w:rsidRDefault="00301AEC" w:rsidP="00076ABF">
      <w:r>
        <w:t xml:space="preserve">Som vi så, hadde </w:t>
      </w:r>
      <w:proofErr w:type="spellStart"/>
      <w:r w:rsidR="000A45CA">
        <w:t>Glåmdal</w:t>
      </w:r>
      <w:proofErr w:type="spellEnd"/>
      <w:r>
        <w:t xml:space="preserve"> en sterk nedgang i a</w:t>
      </w:r>
      <w:r w:rsidR="000A45CA">
        <w:t>ntall ansatte i basisnæringene. Utviklingen i besøksnæringene har vært mye svakere enn i resten av landet de siste årene</w:t>
      </w:r>
      <w:r>
        <w:t>.</w:t>
      </w:r>
      <w:r w:rsidR="000A45CA">
        <w:t xml:space="preserve"> I dette kapitlet skal vi analysere hvorfor utviklingen har vært slik.</w:t>
      </w:r>
    </w:p>
    <w:p w:rsidR="00301AEC" w:rsidRDefault="00301AEC" w:rsidP="00076ABF"/>
    <w:bookmarkStart w:id="29" w:name="_MON_1473751195"/>
    <w:bookmarkEnd w:id="29"/>
    <w:p w:rsidR="00301AEC" w:rsidRDefault="005D7118" w:rsidP="00301AEC">
      <w:pPr>
        <w:keepNext/>
      </w:pPr>
      <w:r>
        <w:object w:dxaOrig="9698" w:dyaOrig="5453">
          <v:shape id="_x0000_i1030" type="#_x0000_t75" style="width:482.5pt;height:273.5pt" o:ole="">
            <v:imagedata r:id="rId41" o:title=""/>
          </v:shape>
          <o:OLEObject Type="Embed" ProgID="PowerPoint.Slide.12" ShapeID="_x0000_i1030" DrawAspect="Content" ObjectID="_1484073981" r:id="rId42"/>
        </w:object>
      </w:r>
    </w:p>
    <w:p w:rsidR="00C31147" w:rsidRDefault="00301AEC" w:rsidP="00301AEC">
      <w:pPr>
        <w:pStyle w:val="Bildetekst"/>
      </w:pPr>
      <w:r>
        <w:t xml:space="preserve">Figur </w:t>
      </w:r>
      <w:r w:rsidR="004B3D9E">
        <w:fldChar w:fldCharType="begin"/>
      </w:r>
      <w:r>
        <w:instrText xml:space="preserve"> SEQ Figur \* ARABIC </w:instrText>
      </w:r>
      <w:r w:rsidR="004B3D9E">
        <w:fldChar w:fldCharType="separate"/>
      </w:r>
      <w:r w:rsidR="00CD5BFF">
        <w:rPr>
          <w:noProof/>
        </w:rPr>
        <w:t>21</w:t>
      </w:r>
      <w:r w:rsidR="004B3D9E">
        <w:fldChar w:fldCharType="end"/>
      </w:r>
      <w:r w:rsidR="00F55DB7">
        <w:t>: Attraktivitetsmodellen – den delen av modellen som tar for seg arbeidsplassutviklingen</w:t>
      </w:r>
    </w:p>
    <w:p w:rsidR="00301AEC" w:rsidRDefault="00301AEC" w:rsidP="005D7118">
      <w:r>
        <w:t>Vi vil i resten av dette kapitlet analysere hvor mye av utviklingen i de tre næringstypene som kan forklares av strukturelle forhold</w:t>
      </w:r>
      <w:r w:rsidR="005D7118">
        <w:t>, og hvor mye som har sin forklaring i interne forhold</w:t>
      </w:r>
      <w:r>
        <w:t>.</w:t>
      </w:r>
      <w:r w:rsidR="005D7118">
        <w:t xml:space="preserve"> Strukturer</w:t>
      </w:r>
      <w:r>
        <w:t xml:space="preserve"> forhold som ikke kan påvirkes i særlig grad i regionen, men som har en signifikant påvirkning på næringslivets utvikling. Hvis utviklingen kan forklares fullt ut av de strukturelle forholdene, betyr det at utviklingen er «som normalt» i regionen. Det vil si at næringslivet utvikler seg som statistisk forventet ut fra forutsetningene. Dersom utviklingen avviker fra det statistisk normale, tyder det på at det har skjedd noe spesielt i regionen som ikke skyldes ytre forhold. Dersom en har et spesielt godt og effektivt næringsarbeid i regionen, vil det kunne fører til at utviklingen blir bedre enn de strukturelle forutsetningene tilsier. Da vil målingene vise at attraktiviteten er høy. Høy attraktivitet kan også skyldes at de største bedriftene har vært spesielt dyktige. Og så kan det være spesielle forhold i regionen som har hatt betydning, men som ikke fanges opp i de statistiske analysene. Attraktivitetsanalysene vil derfor gi en pekepinn, men må tolkes med varsomhet, og helst på bakgrunn av lokalt kjennskap til utviklingen på stedet.</w:t>
      </w:r>
      <w:r>
        <w:br w:type="page"/>
      </w:r>
    </w:p>
    <w:p w:rsidR="00301AEC" w:rsidRDefault="00301AEC" w:rsidP="00301AEC">
      <w:pPr>
        <w:pStyle w:val="Overskrift2"/>
        <w:sectPr w:rsidR="00301AEC" w:rsidSect="00687F25">
          <w:type w:val="continuous"/>
          <w:pgSz w:w="11907" w:h="16840" w:code="9"/>
          <w:pgMar w:top="1440" w:right="1080" w:bottom="1440" w:left="1080" w:header="709" w:footer="709" w:gutter="0"/>
          <w:cols w:space="708"/>
          <w:docGrid w:linePitch="360"/>
        </w:sectPr>
      </w:pPr>
    </w:p>
    <w:p w:rsidR="00301AEC" w:rsidRDefault="00301AEC" w:rsidP="00301AEC">
      <w:pPr>
        <w:pStyle w:val="Overskrift2"/>
      </w:pPr>
      <w:bookmarkStart w:id="30" w:name="_Toc400090056"/>
      <w:r>
        <w:lastRenderedPageBreak/>
        <w:t>Bransjestrukturen</w:t>
      </w:r>
      <w:bookmarkEnd w:id="30"/>
    </w:p>
    <w:p w:rsidR="0050375B" w:rsidRDefault="0050375B" w:rsidP="00301AEC">
      <w:r>
        <w:t>Vi skal nå se nærmere på bransjestrukturen. Bransjestrukturen er et forhold som har stor betydning for utviklingen, og da spesielt i basisnæringene. Det er fordi basisnæringene er svært ujevnt fordelt mellom regioner, og fordi utviklingen i den enkelte bransjen i basisnæringene svinger sterkt.</w:t>
      </w:r>
    </w:p>
    <w:p w:rsidR="00301AEC" w:rsidRDefault="00301AEC" w:rsidP="00301AEC">
      <w:r>
        <w:t xml:space="preserve">Hvilke bransjer har </w:t>
      </w:r>
      <w:proofErr w:type="spellStart"/>
      <w:r w:rsidR="0067402E">
        <w:t>Glåmdal</w:t>
      </w:r>
      <w:proofErr w:type="spellEnd"/>
      <w:r w:rsidR="0067402E">
        <w:t xml:space="preserve"> </w:t>
      </w:r>
      <w:r>
        <w:t>relativt mye av, i forhold til andre regioner? For å få fram dette bruker vi lokaliseringskvotienter (LQ). LQ for en bransje beregnes gjennom å ta andelen av antall arbeidsplasser i bransjen i forhold til sysselsettingen på stedet, og dele på tilsvarende andel på landsbasis. Hvis tallet er større e</w:t>
      </w:r>
      <w:r w:rsidR="005D7118">
        <w:t>n</w:t>
      </w:r>
      <w:r>
        <w:t>n 1,0 betyr det at der er relativt mye av denne bransjen på stedet. Er tallet mindre enn 1,0 betyr det at det er lite av denne bransjen.</w:t>
      </w:r>
    </w:p>
    <w:p w:rsidR="00301AEC" w:rsidRDefault="0067402E" w:rsidP="00301AEC">
      <w:r>
        <w:t xml:space="preserve">Det er bare fire bransjer som </w:t>
      </w:r>
      <w:proofErr w:type="spellStart"/>
      <w:r>
        <w:t>Glåmdal</w:t>
      </w:r>
      <w:proofErr w:type="spellEnd"/>
      <w:r>
        <w:t xml:space="preserve"> har relativt mye av</w:t>
      </w:r>
      <w:r w:rsidR="00301AEC">
        <w:t>.</w:t>
      </w:r>
      <w:r>
        <w:t xml:space="preserve"> Det er landbruk, gruver (inkluderer steinbrudd, sandtak etc.), anna industri og prosessindustri. Det er bare bransjen gruver som har hatt vekst på landsbasis etter 2000, men det er en liten bransje som ikke har stor betydning. Det er bare litt over 100 arbeidsplasser i denne bransjen i </w:t>
      </w:r>
      <w:proofErr w:type="spellStart"/>
      <w:r>
        <w:t>Glåmdal</w:t>
      </w:r>
      <w:proofErr w:type="spellEnd"/>
      <w:r>
        <w:t>. Landbruk, anna industri og prosessindustri er store bransjer, som alle har hatt sterk nedgang i antall arbeidsplasser på landsbasis, som vi ser av den nederste figuren.</w:t>
      </w:r>
    </w:p>
    <w:p w:rsidR="0067402E" w:rsidRDefault="0067402E" w:rsidP="00301AEC">
      <w:proofErr w:type="spellStart"/>
      <w:r>
        <w:t>Glåmdal</w:t>
      </w:r>
      <w:proofErr w:type="spellEnd"/>
      <w:r>
        <w:t xml:space="preserve"> har nesten ikke arbeidsplasser i de basisnæringene som har hatt sterk vekst, som olje og </w:t>
      </w:r>
      <w:proofErr w:type="spellStart"/>
      <w:r>
        <w:t>gass-relaterte</w:t>
      </w:r>
      <w:proofErr w:type="spellEnd"/>
      <w:r>
        <w:t xml:space="preserve"> næringer, teknisk/vitenskapelige tjenester og tele/IKT. </w:t>
      </w:r>
    </w:p>
    <w:p w:rsidR="0067402E" w:rsidRDefault="0067402E" w:rsidP="00301AEC">
      <w:proofErr w:type="spellStart"/>
      <w:r>
        <w:t>Glåmdal</w:t>
      </w:r>
      <w:proofErr w:type="spellEnd"/>
      <w:r>
        <w:t xml:space="preserve"> har forholdsvis lite av samtlige bransjer innen besøksnæringene og de regionale næringene.</w:t>
      </w:r>
    </w:p>
    <w:p w:rsidR="0067402E" w:rsidRDefault="0067402E" w:rsidP="00301AEC">
      <w:r>
        <w:t xml:space="preserve">Vi kan dermed slå fast at bransjestrukturen i </w:t>
      </w:r>
      <w:proofErr w:type="spellStart"/>
      <w:r>
        <w:t>Glåmdal</w:t>
      </w:r>
      <w:proofErr w:type="spellEnd"/>
      <w:r>
        <w:t xml:space="preserve"> har vært lite gunstig. I resten av dette kapitlet skal vi analysere hvor mye av nedgangen i næringslive</w:t>
      </w:r>
      <w:r w:rsidR="00D91E34">
        <w:t>t som skyldes bransjestrukturen</w:t>
      </w:r>
      <w:r>
        <w:t xml:space="preserve"> og hvor mye av nedgangen som må finne andre forklaringer.</w:t>
      </w:r>
    </w:p>
    <w:p w:rsidR="00301AEC" w:rsidRDefault="00301AEC" w:rsidP="00301AEC">
      <w:pPr>
        <w:pStyle w:val="Bildetekst"/>
      </w:pPr>
      <w:r>
        <w:br w:type="column"/>
      </w:r>
      <w:r>
        <w:rPr>
          <w:noProof/>
          <w:lang w:eastAsia="nb-NO"/>
        </w:rPr>
        <w:lastRenderedPageBreak/>
        <w:t xml:space="preserve"> </w:t>
      </w:r>
      <w:r w:rsidR="005B0981">
        <w:rPr>
          <w:noProof/>
          <w:lang w:eastAsia="nb-NO"/>
        </w:rPr>
        <w:drawing>
          <wp:inline distT="0" distB="0" distL="0" distR="0">
            <wp:extent cx="3150235" cy="4121150"/>
            <wp:effectExtent l="0" t="0" r="0" b="0"/>
            <wp:docPr id="69" name="Diagram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305A1" w:rsidRDefault="00301AEC" w:rsidP="00120821">
      <w:pPr>
        <w:pStyle w:val="Bildetekst"/>
      </w:pPr>
      <w:r>
        <w:t xml:space="preserve">Figur </w:t>
      </w:r>
      <w:r w:rsidR="004B3D9E">
        <w:fldChar w:fldCharType="begin"/>
      </w:r>
      <w:r>
        <w:instrText xml:space="preserve"> SEQ Figur \* ARABIC </w:instrText>
      </w:r>
      <w:r w:rsidR="004B3D9E">
        <w:fldChar w:fldCharType="separate"/>
      </w:r>
      <w:r w:rsidR="00CD5BFF">
        <w:rPr>
          <w:noProof/>
        </w:rPr>
        <w:t>22</w:t>
      </w:r>
      <w:r w:rsidR="004B3D9E">
        <w:fldChar w:fldCharType="end"/>
      </w:r>
      <w:r>
        <w:t xml:space="preserve">: Lokaliseringskvotienter for de ulike bransjene i </w:t>
      </w:r>
      <w:proofErr w:type="spellStart"/>
      <w:r w:rsidR="005B0981">
        <w:t>Glåmdal</w:t>
      </w:r>
      <w:proofErr w:type="spellEnd"/>
      <w:r>
        <w:t xml:space="preserve"> 2013.</w:t>
      </w:r>
    </w:p>
    <w:p w:rsidR="00C819FF" w:rsidRPr="00D602B2" w:rsidRDefault="00C819FF" w:rsidP="00C819FF">
      <w:pPr>
        <w:rPr>
          <w:lang w:eastAsia="nb-NO"/>
        </w:rPr>
      </w:pPr>
      <w:r>
        <w:rPr>
          <w:noProof/>
          <w:lang w:eastAsia="nb-NO"/>
        </w:rPr>
        <w:drawing>
          <wp:inline distT="0" distB="0" distL="0" distR="0">
            <wp:extent cx="3067050" cy="3486150"/>
            <wp:effectExtent l="0" t="0" r="0" b="0"/>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0375B" w:rsidRDefault="00C819FF" w:rsidP="005B0981">
      <w:pPr>
        <w:pStyle w:val="Bildetekst"/>
      </w:pPr>
      <w:r>
        <w:t xml:space="preserve">Figur </w:t>
      </w:r>
      <w:r w:rsidR="004B3D9E">
        <w:fldChar w:fldCharType="begin"/>
      </w:r>
      <w:r>
        <w:instrText xml:space="preserve"> SEQ Figur \* ARABIC </w:instrText>
      </w:r>
      <w:r w:rsidR="004B3D9E">
        <w:fldChar w:fldCharType="separate"/>
      </w:r>
      <w:r w:rsidR="00CD5BFF">
        <w:rPr>
          <w:noProof/>
        </w:rPr>
        <w:t>23</w:t>
      </w:r>
      <w:r w:rsidR="004B3D9E">
        <w:fldChar w:fldCharType="end"/>
      </w:r>
      <w:r>
        <w:t>: Prosentvis vekst i antall arbeidsplasser fra 2000 til 2013 i Norge.</w:t>
      </w:r>
      <w:r w:rsidR="00120821">
        <w:br w:type="page"/>
      </w:r>
    </w:p>
    <w:p w:rsidR="0050375B" w:rsidRPr="0050375B" w:rsidRDefault="0050375B" w:rsidP="00076ABF">
      <w:pPr>
        <w:rPr>
          <w:color w:val="FF0000"/>
        </w:rPr>
        <w:sectPr w:rsidR="0050375B" w:rsidRPr="0050375B" w:rsidSect="00687F25">
          <w:type w:val="continuous"/>
          <w:pgSz w:w="11907" w:h="16840" w:code="9"/>
          <w:pgMar w:top="1440" w:right="1080" w:bottom="1440" w:left="1080" w:header="709" w:footer="709" w:gutter="0"/>
          <w:cols w:num="2" w:space="197"/>
          <w:docGrid w:linePitch="360"/>
        </w:sectPr>
      </w:pPr>
    </w:p>
    <w:p w:rsidR="0011277A" w:rsidRDefault="00D33C1B" w:rsidP="00D33C1B">
      <w:pPr>
        <w:pStyle w:val="Overskrift2"/>
      </w:pPr>
      <w:bookmarkStart w:id="31" w:name="_Toc400090057"/>
      <w:r>
        <w:lastRenderedPageBreak/>
        <w:t>Basisnæringer</w:t>
      </w:r>
      <w:r w:rsidR="009B460B">
        <w:t>, strukturelle forhold og attraktivitet</w:t>
      </w:r>
      <w:bookmarkEnd w:id="31"/>
    </w:p>
    <w:p w:rsidR="009B460B" w:rsidRDefault="009B460B" w:rsidP="005D7118">
      <w:pPr>
        <w:pStyle w:val="Ingress"/>
        <w:ind w:left="0"/>
      </w:pPr>
      <w:r>
        <w:t>Basisnæringene betyr mye for den regionale utviklingen. Basisnæringene skaffer i</w:t>
      </w:r>
      <w:r w:rsidR="00765144">
        <w:t>nntekter til regionen gjennom å</w:t>
      </w:r>
      <w:r>
        <w:t xml:space="preserve"> selge varer og tjenester ut av regionen. Basisnæringene er også mest utsatt for konjunkturer og konkurranse. Samtidig har basisnæringene stort </w:t>
      </w:r>
      <w:proofErr w:type="spellStart"/>
      <w:r>
        <w:t>potensiale</w:t>
      </w:r>
      <w:proofErr w:type="spellEnd"/>
      <w:r>
        <w:t xml:space="preserve"> gjennom at de leverer varer på et nasjonalt og internasjonalt marked, og ikke </w:t>
      </w:r>
      <w:r w:rsidR="00765144">
        <w:t xml:space="preserve">er </w:t>
      </w:r>
      <w:r>
        <w:t>begrenset av etterspørsel i egen region.</w:t>
      </w:r>
    </w:p>
    <w:p w:rsidR="00175C16" w:rsidRDefault="00734C07" w:rsidP="0011277A">
      <w:r>
        <w:t>Tabellen under viser antall arbeidsplasser i bransjene i basisnæringene i 200</w:t>
      </w:r>
      <w:r w:rsidR="000D3A22">
        <w:t>0</w:t>
      </w:r>
      <w:r>
        <w:t xml:space="preserve"> og 2013. Tabellen viser også endring i absolutte tall, prosentvis endring og vekstimpuls. Vekstimpulsen</w:t>
      </w:r>
      <w:r w:rsidR="009B460B">
        <w:t xml:space="preserve"> er endringen målt som andel av samlet sysselsetting, og</w:t>
      </w:r>
      <w:r>
        <w:t xml:space="preserve"> er sammenliknet med vekstimpulsen nasjonalt. </w:t>
      </w:r>
      <w:r w:rsidR="00091A8C" w:rsidRPr="0076664E">
        <w:t xml:space="preserve">Begrepet vekstimpuls er ikke like intuitivt som arbeidsplassvekst, men den sier mer om hvordan veksten har bidratt til vekst i samlet sysselsetting enn det arbeidsplassveksten alene gjør. </w:t>
      </w:r>
      <w:r w:rsidR="00091A8C">
        <w:t xml:space="preserve">Gitt at et sted har én arbeidsplass innen en bransje, og at antall arbeidsplasser øker til to. Da har den prosentvise veksten vært på 100 prosent, men den ekstra arbeidsplassen har neppe bidratt til mye sysselsettingsvekst. Når vi ser på vekstimpulser, ser vi hvordan veksten bidrar i forhold til samlet vekst på stedet. </w:t>
      </w:r>
    </w:p>
    <w:p w:rsidR="000D3A22" w:rsidRDefault="006D1A5D" w:rsidP="005B0981">
      <w:pPr>
        <w:pStyle w:val="Bildetekst"/>
      </w:pPr>
      <w:r>
        <w:t xml:space="preserve">Tabell </w:t>
      </w:r>
      <w:r w:rsidR="004B3D9E">
        <w:fldChar w:fldCharType="begin"/>
      </w:r>
      <w:r>
        <w:instrText xml:space="preserve"> SEQ Tabell \* ARABIC </w:instrText>
      </w:r>
      <w:r w:rsidR="004B3D9E">
        <w:fldChar w:fldCharType="separate"/>
      </w:r>
      <w:r w:rsidR="00CD5BFF">
        <w:rPr>
          <w:noProof/>
        </w:rPr>
        <w:t>2</w:t>
      </w:r>
      <w:r w:rsidR="004B3D9E">
        <w:fldChar w:fldCharType="end"/>
      </w:r>
      <w:r>
        <w:t xml:space="preserve">: </w:t>
      </w:r>
      <w:r w:rsidR="00C87A41">
        <w:t xml:space="preserve">Antall arbeidsplasser i bransjene i basisnæringene i </w:t>
      </w:r>
      <w:proofErr w:type="spellStart"/>
      <w:r w:rsidR="009F7814">
        <w:t>Glåmdal</w:t>
      </w:r>
      <w:proofErr w:type="spellEnd"/>
      <w:r w:rsidR="009F7814">
        <w:t xml:space="preserve"> </w:t>
      </w:r>
      <w:r w:rsidR="008758CC">
        <w:t>i 2000</w:t>
      </w:r>
      <w:r w:rsidR="00C87A41">
        <w:t xml:space="preserve"> og 2013. Absolutt og prosentvis endring, vekstimpuls i </w:t>
      </w:r>
      <w:proofErr w:type="spellStart"/>
      <w:r w:rsidR="009F7814">
        <w:t>Glåmdal</w:t>
      </w:r>
      <w:proofErr w:type="spellEnd"/>
      <w:r w:rsidR="009F7814">
        <w:t xml:space="preserve"> </w:t>
      </w:r>
      <w:r w:rsidR="00C87A41">
        <w:t xml:space="preserve">og vekstimpuls på landsbasis. </w:t>
      </w:r>
    </w:p>
    <w:tbl>
      <w:tblPr>
        <w:tblW w:w="5000" w:type="pct"/>
        <w:tblCellMar>
          <w:left w:w="70" w:type="dxa"/>
          <w:right w:w="70" w:type="dxa"/>
        </w:tblCellMar>
        <w:tblLook w:val="04A0"/>
      </w:tblPr>
      <w:tblGrid>
        <w:gridCol w:w="359"/>
        <w:gridCol w:w="1381"/>
        <w:gridCol w:w="1940"/>
        <w:gridCol w:w="702"/>
        <w:gridCol w:w="702"/>
        <w:gridCol w:w="1113"/>
        <w:gridCol w:w="945"/>
        <w:gridCol w:w="1218"/>
        <w:gridCol w:w="1527"/>
      </w:tblGrid>
      <w:tr w:rsidR="004759EE" w:rsidRPr="007C253F" w:rsidTr="004759EE">
        <w:trPr>
          <w:trHeight w:val="255"/>
        </w:trPr>
        <w:tc>
          <w:tcPr>
            <w:tcW w:w="181" w:type="pct"/>
            <w:tcBorders>
              <w:top w:val="nil"/>
              <w:left w:val="nil"/>
              <w:bottom w:val="nil"/>
              <w:right w:val="nil"/>
            </w:tcBorders>
            <w:shd w:val="clear" w:color="4F81BD" w:fill="4F81BD"/>
            <w:noWrap/>
            <w:vAlign w:val="bottom"/>
            <w:hideMark/>
          </w:tcPr>
          <w:p w:rsidR="007C253F" w:rsidRPr="007C253F" w:rsidRDefault="007C253F" w:rsidP="007C253F">
            <w:pPr>
              <w:spacing w:after="0" w:line="240" w:lineRule="auto"/>
              <w:rPr>
                <w:rFonts w:ascii="Arial" w:eastAsia="Times New Roman" w:hAnsi="Arial" w:cs="Arial"/>
                <w:b/>
                <w:bCs/>
                <w:color w:val="FFFFFF"/>
                <w:szCs w:val="20"/>
                <w:lang w:eastAsia="nb-NO"/>
              </w:rPr>
            </w:pPr>
          </w:p>
        </w:tc>
        <w:tc>
          <w:tcPr>
            <w:tcW w:w="699" w:type="pct"/>
            <w:tcBorders>
              <w:top w:val="nil"/>
              <w:left w:val="nil"/>
              <w:bottom w:val="nil"/>
              <w:right w:val="nil"/>
            </w:tcBorders>
            <w:shd w:val="clear" w:color="4F81BD" w:fill="4F81BD"/>
            <w:noWrap/>
            <w:vAlign w:val="bottom"/>
            <w:hideMark/>
          </w:tcPr>
          <w:p w:rsidR="007C253F" w:rsidRPr="007C253F" w:rsidRDefault="007C253F" w:rsidP="007C253F">
            <w:pPr>
              <w:spacing w:after="0" w:line="240" w:lineRule="auto"/>
              <w:rPr>
                <w:rFonts w:ascii="Arial" w:eastAsia="Times New Roman" w:hAnsi="Arial" w:cs="Arial"/>
                <w:b/>
                <w:bCs/>
                <w:color w:val="FFFFFF"/>
                <w:szCs w:val="20"/>
                <w:lang w:eastAsia="nb-NO"/>
              </w:rPr>
            </w:pPr>
            <w:proofErr w:type="spellStart"/>
            <w:r w:rsidRPr="007C253F">
              <w:rPr>
                <w:rFonts w:ascii="Arial" w:eastAsia="Times New Roman" w:hAnsi="Arial" w:cs="Arial"/>
                <w:b/>
                <w:bCs/>
                <w:color w:val="FFFFFF"/>
                <w:szCs w:val="20"/>
                <w:lang w:eastAsia="nb-NO"/>
              </w:rPr>
              <w:t>SubNæring</w:t>
            </w:r>
            <w:proofErr w:type="spellEnd"/>
          </w:p>
        </w:tc>
        <w:tc>
          <w:tcPr>
            <w:tcW w:w="981" w:type="pct"/>
            <w:tcBorders>
              <w:top w:val="nil"/>
              <w:left w:val="nil"/>
              <w:bottom w:val="nil"/>
              <w:right w:val="nil"/>
            </w:tcBorders>
            <w:shd w:val="clear" w:color="4F81BD" w:fill="4F81BD"/>
            <w:noWrap/>
            <w:vAlign w:val="bottom"/>
            <w:hideMark/>
          </w:tcPr>
          <w:p w:rsidR="007C253F" w:rsidRPr="007C253F" w:rsidRDefault="007C253F" w:rsidP="007C253F">
            <w:pPr>
              <w:spacing w:after="0" w:line="240" w:lineRule="auto"/>
              <w:rPr>
                <w:rFonts w:ascii="Arial" w:eastAsia="Times New Roman" w:hAnsi="Arial" w:cs="Arial"/>
                <w:b/>
                <w:bCs/>
                <w:color w:val="FFFFFF"/>
                <w:szCs w:val="20"/>
                <w:lang w:eastAsia="nb-NO"/>
              </w:rPr>
            </w:pPr>
            <w:r w:rsidRPr="007C253F">
              <w:rPr>
                <w:rFonts w:ascii="Arial" w:eastAsia="Times New Roman" w:hAnsi="Arial" w:cs="Arial"/>
                <w:b/>
                <w:bCs/>
                <w:color w:val="FFFFFF"/>
                <w:szCs w:val="20"/>
                <w:lang w:eastAsia="nb-NO"/>
              </w:rPr>
              <w:t>Bransje</w:t>
            </w:r>
          </w:p>
        </w:tc>
        <w:tc>
          <w:tcPr>
            <w:tcW w:w="355" w:type="pct"/>
            <w:tcBorders>
              <w:top w:val="single" w:sz="4" w:space="0" w:color="A6A6A6"/>
              <w:left w:val="single" w:sz="4" w:space="0" w:color="A6A6A6"/>
              <w:bottom w:val="single" w:sz="4" w:space="0" w:color="A6A6A6"/>
              <w:right w:val="single" w:sz="4" w:space="0" w:color="A6A6A6"/>
            </w:tcBorders>
            <w:shd w:val="clear" w:color="000000" w:fill="4F81BD"/>
            <w:noWrap/>
            <w:vAlign w:val="bottom"/>
            <w:hideMark/>
          </w:tcPr>
          <w:p w:rsidR="007C253F" w:rsidRPr="007C253F" w:rsidRDefault="007C253F" w:rsidP="007C253F">
            <w:pPr>
              <w:spacing w:after="0" w:line="240" w:lineRule="auto"/>
              <w:jc w:val="center"/>
              <w:rPr>
                <w:rFonts w:ascii="Arial" w:eastAsia="Times New Roman" w:hAnsi="Arial" w:cs="Arial"/>
                <w:b/>
                <w:bCs/>
                <w:color w:val="FFFFFF"/>
                <w:sz w:val="18"/>
                <w:szCs w:val="18"/>
                <w:lang w:eastAsia="nb-NO"/>
              </w:rPr>
            </w:pPr>
            <w:r w:rsidRPr="007C253F">
              <w:rPr>
                <w:rFonts w:ascii="Arial" w:eastAsia="Times New Roman" w:hAnsi="Arial" w:cs="Arial"/>
                <w:b/>
                <w:bCs/>
                <w:color w:val="FFFFFF"/>
                <w:sz w:val="18"/>
                <w:szCs w:val="18"/>
                <w:lang w:eastAsia="nb-NO"/>
              </w:rPr>
              <w:t>2000</w:t>
            </w:r>
          </w:p>
        </w:tc>
        <w:tc>
          <w:tcPr>
            <w:tcW w:w="355" w:type="pct"/>
            <w:tcBorders>
              <w:top w:val="single" w:sz="4" w:space="0" w:color="A6A6A6"/>
              <w:left w:val="nil"/>
              <w:bottom w:val="single" w:sz="4" w:space="0" w:color="A6A6A6"/>
              <w:right w:val="single" w:sz="4" w:space="0" w:color="A6A6A6"/>
            </w:tcBorders>
            <w:shd w:val="clear" w:color="000000" w:fill="4F81BD"/>
            <w:noWrap/>
            <w:vAlign w:val="bottom"/>
            <w:hideMark/>
          </w:tcPr>
          <w:p w:rsidR="007C253F" w:rsidRPr="007C253F" w:rsidRDefault="007C253F" w:rsidP="007C253F">
            <w:pPr>
              <w:spacing w:after="0" w:line="240" w:lineRule="auto"/>
              <w:jc w:val="center"/>
              <w:rPr>
                <w:rFonts w:ascii="Arial" w:eastAsia="Times New Roman" w:hAnsi="Arial" w:cs="Arial"/>
                <w:b/>
                <w:bCs/>
                <w:color w:val="FFFFFF"/>
                <w:sz w:val="18"/>
                <w:szCs w:val="18"/>
                <w:lang w:eastAsia="nb-NO"/>
              </w:rPr>
            </w:pPr>
            <w:r w:rsidRPr="007C253F">
              <w:rPr>
                <w:rFonts w:ascii="Arial" w:eastAsia="Times New Roman" w:hAnsi="Arial" w:cs="Arial"/>
                <w:b/>
                <w:bCs/>
                <w:color w:val="FFFFFF"/>
                <w:sz w:val="18"/>
                <w:szCs w:val="18"/>
                <w:lang w:eastAsia="nb-NO"/>
              </w:rPr>
              <w:t>2013</w:t>
            </w:r>
          </w:p>
        </w:tc>
        <w:tc>
          <w:tcPr>
            <w:tcW w:w="563" w:type="pct"/>
            <w:tcBorders>
              <w:top w:val="single" w:sz="4" w:space="0" w:color="A6A6A6"/>
              <w:left w:val="nil"/>
              <w:bottom w:val="single" w:sz="4" w:space="0" w:color="A6A6A6"/>
              <w:right w:val="single" w:sz="4" w:space="0" w:color="A6A6A6"/>
            </w:tcBorders>
            <w:shd w:val="clear" w:color="000000" w:fill="4F81BD"/>
            <w:vAlign w:val="bottom"/>
            <w:hideMark/>
          </w:tcPr>
          <w:p w:rsidR="007C253F" w:rsidRPr="007C253F" w:rsidRDefault="007C253F" w:rsidP="007C253F">
            <w:pPr>
              <w:spacing w:after="0" w:line="240" w:lineRule="auto"/>
              <w:jc w:val="center"/>
              <w:rPr>
                <w:rFonts w:ascii="Arial" w:eastAsia="Times New Roman" w:hAnsi="Arial" w:cs="Arial"/>
                <w:b/>
                <w:bCs/>
                <w:color w:val="FFFFFF"/>
                <w:sz w:val="18"/>
                <w:szCs w:val="18"/>
                <w:lang w:eastAsia="nb-NO"/>
              </w:rPr>
            </w:pPr>
            <w:r w:rsidRPr="007C253F">
              <w:rPr>
                <w:rFonts w:ascii="Arial" w:eastAsia="Times New Roman" w:hAnsi="Arial" w:cs="Arial"/>
                <w:b/>
                <w:bCs/>
                <w:color w:val="FFFFFF"/>
                <w:sz w:val="18"/>
                <w:szCs w:val="18"/>
                <w:lang w:eastAsia="nb-NO"/>
              </w:rPr>
              <w:t>Endring antall</w:t>
            </w:r>
          </w:p>
        </w:tc>
        <w:tc>
          <w:tcPr>
            <w:tcW w:w="478" w:type="pct"/>
            <w:tcBorders>
              <w:top w:val="single" w:sz="4" w:space="0" w:color="A6A6A6"/>
              <w:left w:val="nil"/>
              <w:bottom w:val="single" w:sz="4" w:space="0" w:color="A6A6A6"/>
              <w:right w:val="single" w:sz="4" w:space="0" w:color="A6A6A6"/>
            </w:tcBorders>
            <w:shd w:val="clear" w:color="000000" w:fill="4F81BD"/>
            <w:vAlign w:val="bottom"/>
            <w:hideMark/>
          </w:tcPr>
          <w:p w:rsidR="007C253F" w:rsidRPr="007C253F" w:rsidRDefault="007C253F" w:rsidP="007C253F">
            <w:pPr>
              <w:spacing w:after="0" w:line="240" w:lineRule="auto"/>
              <w:jc w:val="center"/>
              <w:rPr>
                <w:rFonts w:ascii="Arial" w:eastAsia="Times New Roman" w:hAnsi="Arial" w:cs="Arial"/>
                <w:b/>
                <w:bCs/>
                <w:color w:val="FFFFFF"/>
                <w:sz w:val="18"/>
                <w:szCs w:val="18"/>
                <w:lang w:eastAsia="nb-NO"/>
              </w:rPr>
            </w:pPr>
            <w:r w:rsidRPr="007C253F">
              <w:rPr>
                <w:rFonts w:ascii="Arial" w:eastAsia="Times New Roman" w:hAnsi="Arial" w:cs="Arial"/>
                <w:b/>
                <w:bCs/>
                <w:color w:val="FFFFFF"/>
                <w:sz w:val="18"/>
                <w:szCs w:val="18"/>
                <w:lang w:eastAsia="nb-NO"/>
              </w:rPr>
              <w:t>Endring %</w:t>
            </w:r>
          </w:p>
        </w:tc>
        <w:tc>
          <w:tcPr>
            <w:tcW w:w="616" w:type="pct"/>
            <w:tcBorders>
              <w:top w:val="single" w:sz="4" w:space="0" w:color="A6A6A6"/>
              <w:left w:val="nil"/>
              <w:bottom w:val="single" w:sz="4" w:space="0" w:color="A6A6A6"/>
              <w:right w:val="single" w:sz="4" w:space="0" w:color="A6A6A6"/>
            </w:tcBorders>
            <w:shd w:val="clear" w:color="000000" w:fill="4F81BD"/>
            <w:vAlign w:val="bottom"/>
            <w:hideMark/>
          </w:tcPr>
          <w:p w:rsidR="007C253F" w:rsidRPr="007C253F" w:rsidRDefault="007C253F" w:rsidP="007C253F">
            <w:pPr>
              <w:spacing w:after="0" w:line="240" w:lineRule="auto"/>
              <w:jc w:val="center"/>
              <w:rPr>
                <w:rFonts w:ascii="Arial" w:eastAsia="Times New Roman" w:hAnsi="Arial" w:cs="Arial"/>
                <w:b/>
                <w:bCs/>
                <w:color w:val="FFFFFF"/>
                <w:sz w:val="18"/>
                <w:szCs w:val="18"/>
                <w:lang w:eastAsia="nb-NO"/>
              </w:rPr>
            </w:pPr>
            <w:r w:rsidRPr="007C253F">
              <w:rPr>
                <w:rFonts w:ascii="Arial" w:eastAsia="Times New Roman" w:hAnsi="Arial" w:cs="Arial"/>
                <w:b/>
                <w:bCs/>
                <w:color w:val="FFFFFF"/>
                <w:sz w:val="18"/>
                <w:szCs w:val="18"/>
                <w:lang w:eastAsia="nb-NO"/>
              </w:rPr>
              <w:t>Vekstimpuls</w:t>
            </w:r>
          </w:p>
        </w:tc>
        <w:tc>
          <w:tcPr>
            <w:tcW w:w="772" w:type="pct"/>
            <w:tcBorders>
              <w:top w:val="single" w:sz="4" w:space="0" w:color="A6A6A6"/>
              <w:left w:val="nil"/>
              <w:bottom w:val="single" w:sz="4" w:space="0" w:color="A6A6A6"/>
              <w:right w:val="single" w:sz="4" w:space="0" w:color="A6A6A6"/>
            </w:tcBorders>
            <w:shd w:val="clear" w:color="000000" w:fill="4F81BD"/>
            <w:vAlign w:val="bottom"/>
            <w:hideMark/>
          </w:tcPr>
          <w:p w:rsidR="007C253F" w:rsidRPr="007C253F" w:rsidRDefault="007C253F" w:rsidP="007C253F">
            <w:pPr>
              <w:spacing w:after="0" w:line="240" w:lineRule="auto"/>
              <w:jc w:val="center"/>
              <w:rPr>
                <w:rFonts w:ascii="Arial" w:eastAsia="Times New Roman" w:hAnsi="Arial" w:cs="Arial"/>
                <w:b/>
                <w:bCs/>
                <w:color w:val="FFFFFF"/>
                <w:sz w:val="18"/>
                <w:szCs w:val="18"/>
                <w:lang w:eastAsia="nb-NO"/>
              </w:rPr>
            </w:pPr>
            <w:r w:rsidRPr="007C253F">
              <w:rPr>
                <w:rFonts w:ascii="Arial" w:eastAsia="Times New Roman" w:hAnsi="Arial" w:cs="Arial"/>
                <w:b/>
                <w:bCs/>
                <w:color w:val="FFFFFF"/>
                <w:sz w:val="18"/>
                <w:szCs w:val="18"/>
                <w:lang w:eastAsia="nb-NO"/>
              </w:rPr>
              <w:t>Vekstimpuls Norge</w:t>
            </w:r>
          </w:p>
        </w:tc>
      </w:tr>
      <w:tr w:rsidR="004759EE" w:rsidRPr="007C253F" w:rsidTr="004759EE">
        <w:trPr>
          <w:trHeight w:val="227"/>
        </w:trPr>
        <w:tc>
          <w:tcPr>
            <w:tcW w:w="181" w:type="pct"/>
            <w:vMerge w:val="restart"/>
            <w:tcBorders>
              <w:top w:val="single" w:sz="4" w:space="0" w:color="A6A6A6"/>
              <w:left w:val="single" w:sz="4" w:space="0" w:color="A6A6A6"/>
              <w:right w:val="single" w:sz="4" w:space="0" w:color="A6A6A6"/>
            </w:tcBorders>
            <w:shd w:val="clear" w:color="000000" w:fill="FEF2E9"/>
            <w:noWrap/>
            <w:textDirection w:val="btLr"/>
            <w:hideMark/>
          </w:tcPr>
          <w:p w:rsidR="004759EE" w:rsidRPr="007C253F" w:rsidRDefault="004759EE" w:rsidP="007C253F">
            <w:pPr>
              <w:spacing w:after="0" w:line="240" w:lineRule="auto"/>
              <w:ind w:left="113" w:right="113"/>
              <w:jc w:val="center"/>
              <w:rPr>
                <w:rFonts w:ascii="Arial" w:eastAsia="Times New Roman" w:hAnsi="Arial" w:cs="Arial"/>
                <w:b/>
                <w:bCs/>
                <w:color w:val="000000"/>
                <w:sz w:val="18"/>
                <w:szCs w:val="18"/>
                <w:lang w:eastAsia="nb-NO"/>
              </w:rPr>
            </w:pPr>
            <w:r w:rsidRPr="007C253F">
              <w:rPr>
                <w:rFonts w:ascii="Arial" w:eastAsia="Times New Roman" w:hAnsi="Arial" w:cs="Arial"/>
                <w:b/>
                <w:bCs/>
                <w:color w:val="000000"/>
                <w:sz w:val="18"/>
                <w:szCs w:val="18"/>
                <w:lang w:eastAsia="nb-NO"/>
              </w:rPr>
              <w:t>Basis</w:t>
            </w:r>
          </w:p>
        </w:tc>
        <w:tc>
          <w:tcPr>
            <w:tcW w:w="699" w:type="pct"/>
            <w:vMerge w:val="restart"/>
            <w:tcBorders>
              <w:top w:val="single" w:sz="4" w:space="0" w:color="A6A6A6"/>
              <w:left w:val="single" w:sz="4" w:space="0" w:color="A6A6A6"/>
              <w:right w:val="single" w:sz="4" w:space="0" w:color="A6A6A6"/>
            </w:tcBorders>
            <w:shd w:val="clear" w:color="000000" w:fill="FEF2E9"/>
            <w:noWrap/>
            <w:vAlign w:val="center"/>
            <w:hideMark/>
          </w:tcPr>
          <w:p w:rsidR="004759EE" w:rsidRPr="007C253F" w:rsidRDefault="004759EE" w:rsidP="004759EE">
            <w:pPr>
              <w:spacing w:after="0" w:line="240" w:lineRule="auto"/>
              <w:rPr>
                <w:rFonts w:ascii="Arial" w:eastAsia="Times New Roman" w:hAnsi="Arial" w:cs="Arial"/>
                <w:b/>
                <w:bCs/>
                <w:color w:val="000000"/>
                <w:sz w:val="18"/>
                <w:szCs w:val="18"/>
                <w:lang w:eastAsia="nb-NO"/>
              </w:rPr>
            </w:pPr>
            <w:r w:rsidRPr="007C253F">
              <w:rPr>
                <w:rFonts w:ascii="Arial" w:eastAsia="Times New Roman" w:hAnsi="Arial" w:cs="Arial"/>
                <w:b/>
                <w:bCs/>
                <w:color w:val="000000"/>
                <w:sz w:val="18"/>
                <w:szCs w:val="18"/>
                <w:lang w:eastAsia="nb-NO"/>
              </w:rPr>
              <w:t>Industri</w:t>
            </w:r>
          </w:p>
        </w:tc>
        <w:tc>
          <w:tcPr>
            <w:tcW w:w="981" w:type="pct"/>
            <w:tcBorders>
              <w:top w:val="single" w:sz="4" w:space="0" w:color="A6A6A6"/>
              <w:left w:val="nil"/>
              <w:bottom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Anna industri</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1 909</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980</w:t>
            </w:r>
          </w:p>
        </w:tc>
        <w:tc>
          <w:tcPr>
            <w:tcW w:w="563"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-929</w:t>
            </w:r>
          </w:p>
        </w:tc>
        <w:tc>
          <w:tcPr>
            <w:tcW w:w="478"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-48,7</w:t>
            </w:r>
          </w:p>
        </w:tc>
        <w:tc>
          <w:tcPr>
            <w:tcW w:w="616" w:type="pct"/>
            <w:tcBorders>
              <w:top w:val="single" w:sz="4" w:space="0" w:color="A6A6A6"/>
              <w:left w:val="single" w:sz="4" w:space="0" w:color="A6A6A6"/>
              <w:bottom w:val="single" w:sz="4" w:space="0" w:color="A6A6A6"/>
              <w:right w:val="single" w:sz="4" w:space="0" w:color="A6A6A6"/>
            </w:tcBorders>
            <w:shd w:val="clear" w:color="000000" w:fill="F9ABAD"/>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-3,6</w:t>
            </w:r>
          </w:p>
        </w:tc>
        <w:tc>
          <w:tcPr>
            <w:tcW w:w="772" w:type="pct"/>
            <w:tcBorders>
              <w:top w:val="single" w:sz="4" w:space="0" w:color="A6A6A6"/>
              <w:left w:val="single" w:sz="4" w:space="0" w:color="A6A6A6"/>
              <w:bottom w:val="single" w:sz="4" w:space="0" w:color="A6A6A6"/>
              <w:right w:val="single" w:sz="4" w:space="0" w:color="A6A6A6"/>
            </w:tcBorders>
            <w:shd w:val="clear" w:color="000000" w:fill="FBEAED"/>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-0,8</w:t>
            </w:r>
          </w:p>
        </w:tc>
      </w:tr>
      <w:tr w:rsidR="004759EE" w:rsidRPr="007C253F" w:rsidTr="004759EE">
        <w:trPr>
          <w:trHeight w:val="227"/>
        </w:trPr>
        <w:tc>
          <w:tcPr>
            <w:tcW w:w="181" w:type="pct"/>
            <w:vMerge/>
            <w:tcBorders>
              <w:left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b/>
                <w:bCs/>
                <w:color w:val="000000"/>
                <w:sz w:val="18"/>
                <w:szCs w:val="18"/>
                <w:lang w:eastAsia="nb-NO"/>
              </w:rPr>
            </w:pPr>
          </w:p>
        </w:tc>
        <w:tc>
          <w:tcPr>
            <w:tcW w:w="699" w:type="pct"/>
            <w:vMerge/>
            <w:tcBorders>
              <w:left w:val="single" w:sz="4" w:space="0" w:color="A6A6A6"/>
              <w:right w:val="single" w:sz="4" w:space="0" w:color="A6A6A6"/>
            </w:tcBorders>
            <w:shd w:val="clear" w:color="000000" w:fill="FEF2E9"/>
            <w:noWrap/>
            <w:vAlign w:val="center"/>
            <w:hideMark/>
          </w:tcPr>
          <w:p w:rsidR="004759EE" w:rsidRPr="007C253F" w:rsidRDefault="004759EE" w:rsidP="004759EE">
            <w:pPr>
              <w:spacing w:after="0" w:line="240" w:lineRule="auto"/>
              <w:rPr>
                <w:rFonts w:ascii="Arial" w:eastAsia="Times New Roman" w:hAnsi="Arial" w:cs="Arial"/>
                <w:b/>
                <w:bCs/>
                <w:color w:val="000000"/>
                <w:sz w:val="18"/>
                <w:szCs w:val="18"/>
                <w:lang w:eastAsia="nb-NO"/>
              </w:rPr>
            </w:pPr>
          </w:p>
        </w:tc>
        <w:tc>
          <w:tcPr>
            <w:tcW w:w="981" w:type="pct"/>
            <w:tcBorders>
              <w:top w:val="nil"/>
              <w:left w:val="nil"/>
              <w:bottom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Næringsmidler</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527</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306</w:t>
            </w:r>
          </w:p>
        </w:tc>
        <w:tc>
          <w:tcPr>
            <w:tcW w:w="563"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-221</w:t>
            </w:r>
          </w:p>
        </w:tc>
        <w:tc>
          <w:tcPr>
            <w:tcW w:w="478"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-41,9</w:t>
            </w:r>
          </w:p>
        </w:tc>
        <w:tc>
          <w:tcPr>
            <w:tcW w:w="616" w:type="pct"/>
            <w:tcBorders>
              <w:top w:val="single" w:sz="4" w:space="0" w:color="A6A6A6"/>
              <w:left w:val="single" w:sz="4" w:space="0" w:color="A6A6A6"/>
              <w:bottom w:val="single" w:sz="4" w:space="0" w:color="A6A6A6"/>
              <w:right w:val="single" w:sz="4" w:space="0" w:color="A6A6A6"/>
            </w:tcBorders>
            <w:shd w:val="clear" w:color="000000" w:fill="FBE9EB"/>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-0,9</w:t>
            </w:r>
          </w:p>
        </w:tc>
        <w:tc>
          <w:tcPr>
            <w:tcW w:w="772" w:type="pct"/>
            <w:tcBorders>
              <w:top w:val="single" w:sz="4" w:space="0" w:color="A6A6A6"/>
              <w:left w:val="single" w:sz="4" w:space="0" w:color="A6A6A6"/>
              <w:bottom w:val="single" w:sz="4" w:space="0" w:color="A6A6A6"/>
              <w:right w:val="single" w:sz="4" w:space="0" w:color="A6A6A6"/>
            </w:tcBorders>
            <w:shd w:val="clear" w:color="000000" w:fill="FBF4F7"/>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-0,3</w:t>
            </w:r>
          </w:p>
        </w:tc>
      </w:tr>
      <w:tr w:rsidR="004759EE" w:rsidRPr="007C253F" w:rsidTr="004759EE">
        <w:trPr>
          <w:trHeight w:val="227"/>
        </w:trPr>
        <w:tc>
          <w:tcPr>
            <w:tcW w:w="181" w:type="pct"/>
            <w:vMerge/>
            <w:tcBorders>
              <w:left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b/>
                <w:bCs/>
                <w:color w:val="000000"/>
                <w:sz w:val="18"/>
                <w:szCs w:val="18"/>
                <w:lang w:eastAsia="nb-NO"/>
              </w:rPr>
            </w:pPr>
          </w:p>
        </w:tc>
        <w:tc>
          <w:tcPr>
            <w:tcW w:w="699" w:type="pct"/>
            <w:vMerge/>
            <w:tcBorders>
              <w:left w:val="single" w:sz="4" w:space="0" w:color="A6A6A6"/>
              <w:right w:val="single" w:sz="4" w:space="0" w:color="A6A6A6"/>
            </w:tcBorders>
            <w:shd w:val="clear" w:color="000000" w:fill="FEF2E9"/>
            <w:noWrap/>
            <w:vAlign w:val="center"/>
            <w:hideMark/>
          </w:tcPr>
          <w:p w:rsidR="004759EE" w:rsidRPr="007C253F" w:rsidRDefault="004759EE" w:rsidP="004759EE">
            <w:pPr>
              <w:spacing w:after="0" w:line="240" w:lineRule="auto"/>
              <w:rPr>
                <w:rFonts w:ascii="Arial" w:eastAsia="Times New Roman" w:hAnsi="Arial" w:cs="Arial"/>
                <w:b/>
                <w:bCs/>
                <w:color w:val="000000"/>
                <w:sz w:val="18"/>
                <w:szCs w:val="18"/>
                <w:lang w:eastAsia="nb-NO"/>
              </w:rPr>
            </w:pPr>
          </w:p>
        </w:tc>
        <w:tc>
          <w:tcPr>
            <w:tcW w:w="981" w:type="pct"/>
            <w:tcBorders>
              <w:top w:val="nil"/>
              <w:left w:val="nil"/>
              <w:bottom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Olje og gass utvinning</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 </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 </w:t>
            </w:r>
          </w:p>
        </w:tc>
        <w:tc>
          <w:tcPr>
            <w:tcW w:w="563"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w:t>
            </w:r>
          </w:p>
        </w:tc>
        <w:tc>
          <w:tcPr>
            <w:tcW w:w="478"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p>
        </w:tc>
        <w:tc>
          <w:tcPr>
            <w:tcW w:w="616" w:type="pct"/>
            <w:tcBorders>
              <w:top w:val="single" w:sz="4" w:space="0" w:color="A6A6A6"/>
              <w:left w:val="single" w:sz="4" w:space="0" w:color="A6A6A6"/>
              <w:bottom w:val="single" w:sz="4" w:space="0" w:color="A6A6A6"/>
              <w:right w:val="single" w:sz="4" w:space="0" w:color="A6A6A6"/>
            </w:tcBorders>
            <w:shd w:val="clear" w:color="000000" w:fill="FBFBFF"/>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0,0</w:t>
            </w:r>
          </w:p>
        </w:tc>
        <w:tc>
          <w:tcPr>
            <w:tcW w:w="772" w:type="pct"/>
            <w:tcBorders>
              <w:top w:val="single" w:sz="4" w:space="0" w:color="A6A6A6"/>
              <w:left w:val="single" w:sz="4" w:space="0" w:color="A6A6A6"/>
              <w:bottom w:val="single" w:sz="4" w:space="0" w:color="A6A6A6"/>
              <w:right w:val="single" w:sz="4" w:space="0" w:color="A6A6A6"/>
            </w:tcBorders>
            <w:shd w:val="clear" w:color="000000" w:fill="C2D3EB"/>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0,4</w:t>
            </w:r>
          </w:p>
        </w:tc>
      </w:tr>
      <w:tr w:rsidR="004759EE" w:rsidRPr="007C253F" w:rsidTr="004759EE">
        <w:trPr>
          <w:trHeight w:val="227"/>
        </w:trPr>
        <w:tc>
          <w:tcPr>
            <w:tcW w:w="181" w:type="pct"/>
            <w:vMerge/>
            <w:tcBorders>
              <w:left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b/>
                <w:bCs/>
                <w:color w:val="000000"/>
                <w:sz w:val="18"/>
                <w:szCs w:val="18"/>
                <w:lang w:eastAsia="nb-NO"/>
              </w:rPr>
            </w:pPr>
          </w:p>
        </w:tc>
        <w:tc>
          <w:tcPr>
            <w:tcW w:w="699" w:type="pct"/>
            <w:vMerge/>
            <w:tcBorders>
              <w:left w:val="single" w:sz="4" w:space="0" w:color="A6A6A6"/>
              <w:right w:val="single" w:sz="4" w:space="0" w:color="A6A6A6"/>
            </w:tcBorders>
            <w:shd w:val="clear" w:color="000000" w:fill="FEF2E9"/>
            <w:noWrap/>
            <w:vAlign w:val="center"/>
            <w:hideMark/>
          </w:tcPr>
          <w:p w:rsidR="004759EE" w:rsidRPr="007C253F" w:rsidRDefault="004759EE" w:rsidP="004759EE">
            <w:pPr>
              <w:spacing w:after="0" w:line="240" w:lineRule="auto"/>
              <w:rPr>
                <w:rFonts w:ascii="Arial" w:eastAsia="Times New Roman" w:hAnsi="Arial" w:cs="Arial"/>
                <w:b/>
                <w:bCs/>
                <w:color w:val="000000"/>
                <w:sz w:val="18"/>
                <w:szCs w:val="18"/>
                <w:lang w:eastAsia="nb-NO"/>
              </w:rPr>
            </w:pPr>
          </w:p>
        </w:tc>
        <w:tc>
          <w:tcPr>
            <w:tcW w:w="981" w:type="pct"/>
            <w:tcBorders>
              <w:top w:val="nil"/>
              <w:left w:val="nil"/>
              <w:bottom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Prosessindustri</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409</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340</w:t>
            </w:r>
          </w:p>
        </w:tc>
        <w:tc>
          <w:tcPr>
            <w:tcW w:w="563"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-69</w:t>
            </w:r>
          </w:p>
        </w:tc>
        <w:tc>
          <w:tcPr>
            <w:tcW w:w="478"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-16,9</w:t>
            </w:r>
          </w:p>
        </w:tc>
        <w:tc>
          <w:tcPr>
            <w:tcW w:w="616" w:type="pct"/>
            <w:tcBorders>
              <w:top w:val="single" w:sz="4" w:space="0" w:color="A6A6A6"/>
              <w:left w:val="single" w:sz="4" w:space="0" w:color="A6A6A6"/>
              <w:bottom w:val="single" w:sz="4" w:space="0" w:color="A6A6A6"/>
              <w:right w:val="single" w:sz="4" w:space="0" w:color="A6A6A6"/>
            </w:tcBorders>
            <w:shd w:val="clear" w:color="000000" w:fill="FBF6F9"/>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-0,3</w:t>
            </w:r>
          </w:p>
        </w:tc>
        <w:tc>
          <w:tcPr>
            <w:tcW w:w="772" w:type="pct"/>
            <w:tcBorders>
              <w:top w:val="single" w:sz="4" w:space="0" w:color="A6A6A6"/>
              <w:left w:val="single" w:sz="4" w:space="0" w:color="A6A6A6"/>
              <w:bottom w:val="single" w:sz="4" w:space="0" w:color="A6A6A6"/>
              <w:right w:val="single" w:sz="4" w:space="0" w:color="A6A6A6"/>
            </w:tcBorders>
            <w:shd w:val="clear" w:color="000000" w:fill="FBEDF0"/>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-0,7</w:t>
            </w:r>
          </w:p>
        </w:tc>
      </w:tr>
      <w:tr w:rsidR="004759EE" w:rsidRPr="007C253F" w:rsidTr="004759EE">
        <w:trPr>
          <w:trHeight w:val="227"/>
        </w:trPr>
        <w:tc>
          <w:tcPr>
            <w:tcW w:w="181" w:type="pct"/>
            <w:vMerge/>
            <w:tcBorders>
              <w:left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b/>
                <w:bCs/>
                <w:color w:val="000000"/>
                <w:sz w:val="18"/>
                <w:szCs w:val="18"/>
                <w:lang w:eastAsia="nb-NO"/>
              </w:rPr>
            </w:pPr>
          </w:p>
        </w:tc>
        <w:tc>
          <w:tcPr>
            <w:tcW w:w="699" w:type="pct"/>
            <w:vMerge/>
            <w:tcBorders>
              <w:left w:val="single" w:sz="4" w:space="0" w:color="A6A6A6"/>
              <w:bottom w:val="single" w:sz="4" w:space="0" w:color="A6A6A6"/>
              <w:right w:val="single" w:sz="4" w:space="0" w:color="A6A6A6"/>
            </w:tcBorders>
            <w:shd w:val="clear" w:color="000000" w:fill="FEF2E9"/>
            <w:noWrap/>
            <w:vAlign w:val="center"/>
            <w:hideMark/>
          </w:tcPr>
          <w:p w:rsidR="004759EE" w:rsidRPr="007C253F" w:rsidRDefault="004759EE" w:rsidP="004759EE">
            <w:pPr>
              <w:spacing w:after="0" w:line="240" w:lineRule="auto"/>
              <w:rPr>
                <w:rFonts w:ascii="Arial" w:eastAsia="Times New Roman" w:hAnsi="Arial" w:cs="Arial"/>
                <w:b/>
                <w:bCs/>
                <w:color w:val="000000"/>
                <w:sz w:val="18"/>
                <w:szCs w:val="18"/>
                <w:lang w:eastAsia="nb-NO"/>
              </w:rPr>
            </w:pPr>
          </w:p>
        </w:tc>
        <w:tc>
          <w:tcPr>
            <w:tcW w:w="981" w:type="pct"/>
            <w:tcBorders>
              <w:top w:val="nil"/>
              <w:left w:val="nil"/>
              <w:bottom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Verkstedindustri</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891</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524</w:t>
            </w:r>
          </w:p>
        </w:tc>
        <w:tc>
          <w:tcPr>
            <w:tcW w:w="563" w:type="pct"/>
            <w:tcBorders>
              <w:top w:val="nil"/>
              <w:left w:val="nil"/>
              <w:bottom w:val="nil"/>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-367</w:t>
            </w:r>
          </w:p>
        </w:tc>
        <w:tc>
          <w:tcPr>
            <w:tcW w:w="478" w:type="pct"/>
            <w:tcBorders>
              <w:top w:val="nil"/>
              <w:left w:val="nil"/>
              <w:bottom w:val="nil"/>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-41,2</w:t>
            </w:r>
          </w:p>
        </w:tc>
        <w:tc>
          <w:tcPr>
            <w:tcW w:w="616" w:type="pct"/>
            <w:tcBorders>
              <w:top w:val="single" w:sz="4" w:space="0" w:color="A6A6A6"/>
              <w:left w:val="single" w:sz="4" w:space="0" w:color="A6A6A6"/>
              <w:bottom w:val="nil"/>
              <w:right w:val="single" w:sz="4" w:space="0" w:color="A6A6A6"/>
            </w:tcBorders>
            <w:shd w:val="clear" w:color="000000" w:fill="FBDCDF"/>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-1,4</w:t>
            </w:r>
          </w:p>
        </w:tc>
        <w:tc>
          <w:tcPr>
            <w:tcW w:w="772" w:type="pct"/>
            <w:tcBorders>
              <w:top w:val="single" w:sz="4" w:space="0" w:color="A6A6A6"/>
              <w:left w:val="single" w:sz="4" w:space="0" w:color="A6A6A6"/>
              <w:bottom w:val="nil"/>
              <w:right w:val="single" w:sz="4" w:space="0" w:color="A6A6A6"/>
            </w:tcBorders>
            <w:shd w:val="clear" w:color="000000" w:fill="FBFBFE"/>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0,0</w:t>
            </w:r>
          </w:p>
        </w:tc>
      </w:tr>
      <w:tr w:rsidR="004759EE" w:rsidRPr="007C253F" w:rsidTr="004759EE">
        <w:trPr>
          <w:trHeight w:val="227"/>
        </w:trPr>
        <w:tc>
          <w:tcPr>
            <w:tcW w:w="181" w:type="pct"/>
            <w:vMerge/>
            <w:tcBorders>
              <w:left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b/>
                <w:bCs/>
                <w:color w:val="000000"/>
                <w:sz w:val="18"/>
                <w:szCs w:val="18"/>
                <w:lang w:eastAsia="nb-NO"/>
              </w:rPr>
            </w:pPr>
          </w:p>
        </w:tc>
        <w:tc>
          <w:tcPr>
            <w:tcW w:w="699" w:type="pct"/>
            <w:vMerge w:val="restart"/>
            <w:tcBorders>
              <w:top w:val="single" w:sz="4" w:space="0" w:color="auto"/>
              <w:left w:val="single" w:sz="4" w:space="0" w:color="A6A6A6"/>
              <w:right w:val="single" w:sz="4" w:space="0" w:color="A6A6A6"/>
            </w:tcBorders>
            <w:shd w:val="clear" w:color="000000" w:fill="FEF2E9"/>
            <w:noWrap/>
            <w:vAlign w:val="center"/>
            <w:hideMark/>
          </w:tcPr>
          <w:p w:rsidR="004759EE" w:rsidRPr="007C253F" w:rsidRDefault="004759EE" w:rsidP="004759EE">
            <w:pPr>
              <w:spacing w:after="0" w:line="240" w:lineRule="auto"/>
              <w:rPr>
                <w:rFonts w:ascii="Arial" w:eastAsia="Times New Roman" w:hAnsi="Arial" w:cs="Arial"/>
                <w:b/>
                <w:bCs/>
                <w:color w:val="000000"/>
                <w:sz w:val="18"/>
                <w:szCs w:val="18"/>
                <w:lang w:eastAsia="nb-NO"/>
              </w:rPr>
            </w:pPr>
            <w:r w:rsidRPr="007C253F">
              <w:rPr>
                <w:rFonts w:ascii="Arial" w:eastAsia="Times New Roman" w:hAnsi="Arial" w:cs="Arial"/>
                <w:b/>
                <w:bCs/>
                <w:color w:val="000000"/>
                <w:sz w:val="18"/>
                <w:szCs w:val="18"/>
                <w:lang w:eastAsia="nb-NO"/>
              </w:rPr>
              <w:t>Natur</w:t>
            </w:r>
          </w:p>
        </w:tc>
        <w:tc>
          <w:tcPr>
            <w:tcW w:w="981" w:type="pct"/>
            <w:tcBorders>
              <w:top w:val="single" w:sz="4" w:space="0" w:color="auto"/>
              <w:left w:val="nil"/>
              <w:bottom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Fisk</w:t>
            </w:r>
          </w:p>
        </w:tc>
        <w:tc>
          <w:tcPr>
            <w:tcW w:w="355" w:type="pct"/>
            <w:tcBorders>
              <w:top w:val="single" w:sz="4" w:space="0" w:color="auto"/>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3</w:t>
            </w:r>
          </w:p>
        </w:tc>
        <w:tc>
          <w:tcPr>
            <w:tcW w:w="355" w:type="pct"/>
            <w:tcBorders>
              <w:top w:val="single" w:sz="4" w:space="0" w:color="auto"/>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3</w:t>
            </w:r>
          </w:p>
        </w:tc>
        <w:tc>
          <w:tcPr>
            <w:tcW w:w="563" w:type="pct"/>
            <w:tcBorders>
              <w:top w:val="single" w:sz="4" w:space="0" w:color="auto"/>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w:t>
            </w:r>
          </w:p>
        </w:tc>
        <w:tc>
          <w:tcPr>
            <w:tcW w:w="478" w:type="pct"/>
            <w:tcBorders>
              <w:top w:val="single" w:sz="4" w:space="0" w:color="auto"/>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0,0</w:t>
            </w:r>
          </w:p>
        </w:tc>
        <w:tc>
          <w:tcPr>
            <w:tcW w:w="616" w:type="pct"/>
            <w:tcBorders>
              <w:top w:val="single" w:sz="4" w:space="0" w:color="auto"/>
              <w:left w:val="single" w:sz="4" w:space="0" w:color="A6A6A6"/>
              <w:bottom w:val="single" w:sz="4" w:space="0" w:color="A6A6A6"/>
              <w:right w:val="single" w:sz="4" w:space="0" w:color="A6A6A6"/>
            </w:tcBorders>
            <w:shd w:val="clear" w:color="000000" w:fill="FBFBFF"/>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0,0</w:t>
            </w:r>
          </w:p>
        </w:tc>
        <w:tc>
          <w:tcPr>
            <w:tcW w:w="772" w:type="pct"/>
            <w:tcBorders>
              <w:top w:val="single" w:sz="4" w:space="0" w:color="auto"/>
              <w:left w:val="single" w:sz="4" w:space="0" w:color="A6A6A6"/>
              <w:bottom w:val="single" w:sz="4" w:space="0" w:color="A6A6A6"/>
              <w:right w:val="single" w:sz="4" w:space="0" w:color="A6A6A6"/>
            </w:tcBorders>
            <w:shd w:val="clear" w:color="000000" w:fill="FBF8FB"/>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-0,2</w:t>
            </w:r>
          </w:p>
        </w:tc>
      </w:tr>
      <w:tr w:rsidR="004759EE" w:rsidRPr="007C253F" w:rsidTr="004759EE">
        <w:trPr>
          <w:trHeight w:val="227"/>
        </w:trPr>
        <w:tc>
          <w:tcPr>
            <w:tcW w:w="181" w:type="pct"/>
            <w:vMerge/>
            <w:tcBorders>
              <w:left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b/>
                <w:bCs/>
                <w:color w:val="000000"/>
                <w:sz w:val="18"/>
                <w:szCs w:val="18"/>
                <w:lang w:eastAsia="nb-NO"/>
              </w:rPr>
            </w:pPr>
          </w:p>
        </w:tc>
        <w:tc>
          <w:tcPr>
            <w:tcW w:w="699" w:type="pct"/>
            <w:vMerge/>
            <w:tcBorders>
              <w:left w:val="single" w:sz="4" w:space="0" w:color="A6A6A6"/>
              <w:right w:val="single" w:sz="4" w:space="0" w:color="A6A6A6"/>
            </w:tcBorders>
            <w:shd w:val="clear" w:color="000000" w:fill="FEF2E9"/>
            <w:noWrap/>
            <w:vAlign w:val="center"/>
            <w:hideMark/>
          </w:tcPr>
          <w:p w:rsidR="004759EE" w:rsidRPr="007C253F" w:rsidRDefault="004759EE" w:rsidP="004759EE">
            <w:pPr>
              <w:spacing w:after="0" w:line="240" w:lineRule="auto"/>
              <w:rPr>
                <w:rFonts w:ascii="Arial" w:eastAsia="Times New Roman" w:hAnsi="Arial" w:cs="Arial"/>
                <w:b/>
                <w:bCs/>
                <w:color w:val="000000"/>
                <w:sz w:val="18"/>
                <w:szCs w:val="18"/>
                <w:lang w:eastAsia="nb-NO"/>
              </w:rPr>
            </w:pPr>
          </w:p>
        </w:tc>
        <w:tc>
          <w:tcPr>
            <w:tcW w:w="981" w:type="pct"/>
            <w:tcBorders>
              <w:top w:val="nil"/>
              <w:left w:val="nil"/>
              <w:bottom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Gruve</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103</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112</w:t>
            </w:r>
          </w:p>
        </w:tc>
        <w:tc>
          <w:tcPr>
            <w:tcW w:w="563"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9</w:t>
            </w:r>
          </w:p>
        </w:tc>
        <w:tc>
          <w:tcPr>
            <w:tcW w:w="478"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8,7</w:t>
            </w:r>
          </w:p>
        </w:tc>
        <w:tc>
          <w:tcPr>
            <w:tcW w:w="616" w:type="pct"/>
            <w:tcBorders>
              <w:top w:val="single" w:sz="4" w:space="0" w:color="A6A6A6"/>
              <w:left w:val="single" w:sz="4" w:space="0" w:color="A6A6A6"/>
              <w:bottom w:val="single" w:sz="4" w:space="0" w:color="A6A6A6"/>
              <w:right w:val="single" w:sz="4" w:space="0" w:color="A6A6A6"/>
            </w:tcBorders>
            <w:shd w:val="clear" w:color="000000" w:fill="F6F8FD"/>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0,0</w:t>
            </w:r>
          </w:p>
        </w:tc>
        <w:tc>
          <w:tcPr>
            <w:tcW w:w="772" w:type="pct"/>
            <w:tcBorders>
              <w:top w:val="single" w:sz="4" w:space="0" w:color="A6A6A6"/>
              <w:left w:val="single" w:sz="4" w:space="0" w:color="A6A6A6"/>
              <w:bottom w:val="single" w:sz="4" w:space="0" w:color="A6A6A6"/>
              <w:right w:val="single" w:sz="4" w:space="0" w:color="A6A6A6"/>
            </w:tcBorders>
            <w:shd w:val="clear" w:color="000000" w:fill="F9FAFE"/>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0,0</w:t>
            </w:r>
          </w:p>
        </w:tc>
      </w:tr>
      <w:tr w:rsidR="004759EE" w:rsidRPr="007C253F" w:rsidTr="004759EE">
        <w:trPr>
          <w:trHeight w:val="227"/>
        </w:trPr>
        <w:tc>
          <w:tcPr>
            <w:tcW w:w="181" w:type="pct"/>
            <w:vMerge/>
            <w:tcBorders>
              <w:left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b/>
                <w:bCs/>
                <w:color w:val="000000"/>
                <w:sz w:val="18"/>
                <w:szCs w:val="18"/>
                <w:lang w:eastAsia="nb-NO"/>
              </w:rPr>
            </w:pPr>
          </w:p>
        </w:tc>
        <w:tc>
          <w:tcPr>
            <w:tcW w:w="699" w:type="pct"/>
            <w:vMerge/>
            <w:tcBorders>
              <w:left w:val="single" w:sz="4" w:space="0" w:color="A6A6A6"/>
              <w:bottom w:val="single" w:sz="4" w:space="0" w:color="A6A6A6"/>
              <w:right w:val="single" w:sz="4" w:space="0" w:color="A6A6A6"/>
            </w:tcBorders>
            <w:shd w:val="clear" w:color="000000" w:fill="FEF2E9"/>
            <w:noWrap/>
            <w:vAlign w:val="center"/>
            <w:hideMark/>
          </w:tcPr>
          <w:p w:rsidR="004759EE" w:rsidRPr="007C253F" w:rsidRDefault="004759EE" w:rsidP="004759EE">
            <w:pPr>
              <w:spacing w:after="0" w:line="240" w:lineRule="auto"/>
              <w:rPr>
                <w:rFonts w:ascii="Arial" w:eastAsia="Times New Roman" w:hAnsi="Arial" w:cs="Arial"/>
                <w:b/>
                <w:bCs/>
                <w:color w:val="000000"/>
                <w:sz w:val="18"/>
                <w:szCs w:val="18"/>
                <w:lang w:eastAsia="nb-NO"/>
              </w:rPr>
            </w:pPr>
          </w:p>
        </w:tc>
        <w:tc>
          <w:tcPr>
            <w:tcW w:w="981" w:type="pct"/>
            <w:tcBorders>
              <w:top w:val="nil"/>
              <w:left w:val="nil"/>
              <w:bottom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Landbruk</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1 417</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1 207</w:t>
            </w:r>
          </w:p>
        </w:tc>
        <w:tc>
          <w:tcPr>
            <w:tcW w:w="563" w:type="pct"/>
            <w:tcBorders>
              <w:top w:val="nil"/>
              <w:left w:val="nil"/>
              <w:bottom w:val="nil"/>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-210</w:t>
            </w:r>
          </w:p>
        </w:tc>
        <w:tc>
          <w:tcPr>
            <w:tcW w:w="478" w:type="pct"/>
            <w:tcBorders>
              <w:top w:val="nil"/>
              <w:left w:val="nil"/>
              <w:bottom w:val="nil"/>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-14,8</w:t>
            </w:r>
          </w:p>
        </w:tc>
        <w:tc>
          <w:tcPr>
            <w:tcW w:w="616" w:type="pct"/>
            <w:tcBorders>
              <w:top w:val="single" w:sz="4" w:space="0" w:color="A6A6A6"/>
              <w:left w:val="single" w:sz="4" w:space="0" w:color="A6A6A6"/>
              <w:bottom w:val="nil"/>
              <w:right w:val="single" w:sz="4" w:space="0" w:color="A6A6A6"/>
            </w:tcBorders>
            <w:shd w:val="clear" w:color="000000" w:fill="FBE9EC"/>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-0,8</w:t>
            </w:r>
          </w:p>
        </w:tc>
        <w:tc>
          <w:tcPr>
            <w:tcW w:w="772" w:type="pct"/>
            <w:tcBorders>
              <w:top w:val="single" w:sz="4" w:space="0" w:color="A6A6A6"/>
              <w:left w:val="single" w:sz="4" w:space="0" w:color="A6A6A6"/>
              <w:bottom w:val="nil"/>
              <w:right w:val="single" w:sz="4" w:space="0" w:color="A6A6A6"/>
            </w:tcBorders>
            <w:shd w:val="clear" w:color="000000" w:fill="FBECEF"/>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-0,7</w:t>
            </w:r>
          </w:p>
        </w:tc>
      </w:tr>
      <w:tr w:rsidR="004759EE" w:rsidRPr="007C253F" w:rsidTr="004759EE">
        <w:trPr>
          <w:trHeight w:val="227"/>
        </w:trPr>
        <w:tc>
          <w:tcPr>
            <w:tcW w:w="181" w:type="pct"/>
            <w:vMerge/>
            <w:tcBorders>
              <w:left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b/>
                <w:bCs/>
                <w:color w:val="000000"/>
                <w:sz w:val="18"/>
                <w:szCs w:val="18"/>
                <w:lang w:eastAsia="nb-NO"/>
              </w:rPr>
            </w:pPr>
          </w:p>
        </w:tc>
        <w:tc>
          <w:tcPr>
            <w:tcW w:w="699" w:type="pct"/>
            <w:vMerge w:val="restart"/>
            <w:tcBorders>
              <w:top w:val="single" w:sz="4" w:space="0" w:color="auto"/>
              <w:left w:val="single" w:sz="4" w:space="0" w:color="A6A6A6"/>
              <w:right w:val="single" w:sz="4" w:space="0" w:color="A6A6A6"/>
            </w:tcBorders>
            <w:shd w:val="clear" w:color="000000" w:fill="FEF2E9"/>
            <w:noWrap/>
            <w:vAlign w:val="center"/>
            <w:hideMark/>
          </w:tcPr>
          <w:p w:rsidR="004759EE" w:rsidRPr="007C253F" w:rsidRDefault="004759EE" w:rsidP="004759EE">
            <w:pPr>
              <w:spacing w:after="0" w:line="240" w:lineRule="auto"/>
              <w:rPr>
                <w:rFonts w:ascii="Arial" w:eastAsia="Times New Roman" w:hAnsi="Arial" w:cs="Arial"/>
                <w:b/>
                <w:bCs/>
                <w:color w:val="000000"/>
                <w:sz w:val="18"/>
                <w:szCs w:val="18"/>
                <w:lang w:eastAsia="nb-NO"/>
              </w:rPr>
            </w:pPr>
            <w:r w:rsidRPr="007C253F">
              <w:rPr>
                <w:rFonts w:ascii="Arial" w:eastAsia="Times New Roman" w:hAnsi="Arial" w:cs="Arial"/>
                <w:b/>
                <w:bCs/>
                <w:color w:val="000000"/>
                <w:sz w:val="18"/>
                <w:szCs w:val="18"/>
                <w:lang w:eastAsia="nb-NO"/>
              </w:rPr>
              <w:t>Tekn tjenester</w:t>
            </w:r>
          </w:p>
        </w:tc>
        <w:tc>
          <w:tcPr>
            <w:tcW w:w="981" w:type="pct"/>
            <w:tcBorders>
              <w:top w:val="single" w:sz="4" w:space="0" w:color="auto"/>
              <w:left w:val="nil"/>
              <w:bottom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Olje og gass</w:t>
            </w:r>
          </w:p>
        </w:tc>
        <w:tc>
          <w:tcPr>
            <w:tcW w:w="355" w:type="pct"/>
            <w:tcBorders>
              <w:top w:val="single" w:sz="4" w:space="0" w:color="auto"/>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 </w:t>
            </w:r>
          </w:p>
        </w:tc>
        <w:tc>
          <w:tcPr>
            <w:tcW w:w="355" w:type="pct"/>
            <w:tcBorders>
              <w:top w:val="single" w:sz="4" w:space="0" w:color="auto"/>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 </w:t>
            </w:r>
          </w:p>
        </w:tc>
        <w:tc>
          <w:tcPr>
            <w:tcW w:w="563" w:type="pct"/>
            <w:tcBorders>
              <w:top w:val="single" w:sz="4" w:space="0" w:color="auto"/>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w:t>
            </w:r>
          </w:p>
        </w:tc>
        <w:tc>
          <w:tcPr>
            <w:tcW w:w="478" w:type="pct"/>
            <w:tcBorders>
              <w:top w:val="single" w:sz="4" w:space="0" w:color="auto"/>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p>
        </w:tc>
        <w:tc>
          <w:tcPr>
            <w:tcW w:w="616" w:type="pct"/>
            <w:tcBorders>
              <w:top w:val="single" w:sz="4" w:space="0" w:color="auto"/>
              <w:left w:val="single" w:sz="4" w:space="0" w:color="A6A6A6"/>
              <w:bottom w:val="single" w:sz="4" w:space="0" w:color="A6A6A6"/>
              <w:right w:val="single" w:sz="4" w:space="0" w:color="A6A6A6"/>
            </w:tcBorders>
            <w:shd w:val="clear" w:color="000000" w:fill="FBFBFF"/>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0,0</w:t>
            </w:r>
          </w:p>
        </w:tc>
        <w:tc>
          <w:tcPr>
            <w:tcW w:w="772" w:type="pct"/>
            <w:tcBorders>
              <w:top w:val="single" w:sz="4" w:space="0" w:color="auto"/>
              <w:left w:val="single" w:sz="4" w:space="0" w:color="A6A6A6"/>
              <w:bottom w:val="single" w:sz="4" w:space="0" w:color="A6A6A6"/>
              <w:right w:val="single" w:sz="4" w:space="0" w:color="A6A6A6"/>
            </w:tcBorders>
            <w:shd w:val="clear" w:color="000000" w:fill="7FA4D3"/>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1,0</w:t>
            </w:r>
          </w:p>
        </w:tc>
      </w:tr>
      <w:tr w:rsidR="004759EE" w:rsidRPr="007C253F" w:rsidTr="004759EE">
        <w:trPr>
          <w:trHeight w:val="227"/>
        </w:trPr>
        <w:tc>
          <w:tcPr>
            <w:tcW w:w="181" w:type="pct"/>
            <w:vMerge/>
            <w:tcBorders>
              <w:left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b/>
                <w:bCs/>
                <w:color w:val="000000"/>
                <w:sz w:val="18"/>
                <w:szCs w:val="18"/>
                <w:lang w:eastAsia="nb-NO"/>
              </w:rPr>
            </w:pPr>
          </w:p>
        </w:tc>
        <w:tc>
          <w:tcPr>
            <w:tcW w:w="699" w:type="pct"/>
            <w:vMerge/>
            <w:tcBorders>
              <w:left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b/>
                <w:bCs/>
                <w:color w:val="000000"/>
                <w:sz w:val="18"/>
                <w:szCs w:val="18"/>
                <w:lang w:eastAsia="nb-NO"/>
              </w:rPr>
            </w:pPr>
          </w:p>
        </w:tc>
        <w:tc>
          <w:tcPr>
            <w:tcW w:w="981" w:type="pct"/>
            <w:tcBorders>
              <w:top w:val="nil"/>
              <w:left w:val="nil"/>
              <w:bottom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Teknisk/vitenskap</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52</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114</w:t>
            </w:r>
          </w:p>
        </w:tc>
        <w:tc>
          <w:tcPr>
            <w:tcW w:w="563"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62</w:t>
            </w:r>
          </w:p>
        </w:tc>
        <w:tc>
          <w:tcPr>
            <w:tcW w:w="478"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119,2</w:t>
            </w:r>
          </w:p>
        </w:tc>
        <w:tc>
          <w:tcPr>
            <w:tcW w:w="616" w:type="pct"/>
            <w:tcBorders>
              <w:top w:val="single" w:sz="4" w:space="0" w:color="A6A6A6"/>
              <w:left w:val="single" w:sz="4" w:space="0" w:color="A6A6A6"/>
              <w:bottom w:val="single" w:sz="4" w:space="0" w:color="A6A6A6"/>
              <w:right w:val="single" w:sz="4" w:space="0" w:color="A6A6A6"/>
            </w:tcBorders>
            <w:shd w:val="clear" w:color="000000" w:fill="DCE6F4"/>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0,2</w:t>
            </w:r>
          </w:p>
        </w:tc>
        <w:tc>
          <w:tcPr>
            <w:tcW w:w="772" w:type="pct"/>
            <w:tcBorders>
              <w:top w:val="single" w:sz="4" w:space="0" w:color="A6A6A6"/>
              <w:left w:val="single" w:sz="4" w:space="0" w:color="A6A6A6"/>
              <w:bottom w:val="single" w:sz="4" w:space="0" w:color="A6A6A6"/>
              <w:right w:val="single" w:sz="4" w:space="0" w:color="A6A6A6"/>
            </w:tcBorders>
            <w:shd w:val="clear" w:color="000000" w:fill="5A8AC6"/>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1,3</w:t>
            </w:r>
          </w:p>
        </w:tc>
      </w:tr>
      <w:tr w:rsidR="004759EE" w:rsidRPr="007C253F" w:rsidTr="004759EE">
        <w:trPr>
          <w:trHeight w:val="227"/>
        </w:trPr>
        <w:tc>
          <w:tcPr>
            <w:tcW w:w="181" w:type="pct"/>
            <w:vMerge/>
            <w:tcBorders>
              <w:left w:val="single" w:sz="4" w:space="0" w:color="A6A6A6"/>
              <w:bottom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b/>
                <w:bCs/>
                <w:color w:val="000000"/>
                <w:sz w:val="18"/>
                <w:szCs w:val="18"/>
                <w:lang w:eastAsia="nb-NO"/>
              </w:rPr>
            </w:pPr>
          </w:p>
        </w:tc>
        <w:tc>
          <w:tcPr>
            <w:tcW w:w="699" w:type="pct"/>
            <w:vMerge/>
            <w:tcBorders>
              <w:left w:val="single" w:sz="4" w:space="0" w:color="A6A6A6"/>
              <w:bottom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b/>
                <w:bCs/>
                <w:color w:val="000000"/>
                <w:sz w:val="18"/>
                <w:szCs w:val="18"/>
                <w:lang w:eastAsia="nb-NO"/>
              </w:rPr>
            </w:pPr>
          </w:p>
        </w:tc>
        <w:tc>
          <w:tcPr>
            <w:tcW w:w="981" w:type="pct"/>
            <w:tcBorders>
              <w:top w:val="nil"/>
              <w:left w:val="nil"/>
              <w:bottom w:val="single" w:sz="4" w:space="0" w:color="A6A6A6"/>
              <w:right w:val="single" w:sz="4" w:space="0" w:color="A6A6A6"/>
            </w:tcBorders>
            <w:shd w:val="clear" w:color="000000" w:fill="FEF2E9"/>
            <w:noWrap/>
            <w:vAlign w:val="bottom"/>
            <w:hideMark/>
          </w:tcPr>
          <w:p w:rsidR="004759EE" w:rsidRPr="007C253F" w:rsidRDefault="004759EE"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Tele og IKT</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145</w:t>
            </w:r>
          </w:p>
        </w:tc>
        <w:tc>
          <w:tcPr>
            <w:tcW w:w="355" w:type="pct"/>
            <w:tcBorders>
              <w:top w:val="nil"/>
              <w:left w:val="nil"/>
              <w:bottom w:val="single" w:sz="4" w:space="0" w:color="A6A6A6"/>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178</w:t>
            </w:r>
          </w:p>
        </w:tc>
        <w:tc>
          <w:tcPr>
            <w:tcW w:w="563" w:type="pct"/>
            <w:tcBorders>
              <w:top w:val="nil"/>
              <w:left w:val="nil"/>
              <w:bottom w:val="nil"/>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33</w:t>
            </w:r>
          </w:p>
        </w:tc>
        <w:tc>
          <w:tcPr>
            <w:tcW w:w="478" w:type="pct"/>
            <w:tcBorders>
              <w:top w:val="nil"/>
              <w:left w:val="nil"/>
              <w:bottom w:val="nil"/>
              <w:right w:val="single" w:sz="4" w:space="0" w:color="A6A6A6"/>
            </w:tcBorders>
            <w:shd w:val="clear" w:color="auto" w:fill="auto"/>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22,8</w:t>
            </w:r>
          </w:p>
        </w:tc>
        <w:tc>
          <w:tcPr>
            <w:tcW w:w="616" w:type="pct"/>
            <w:tcBorders>
              <w:top w:val="single" w:sz="4" w:space="0" w:color="A6A6A6"/>
              <w:left w:val="single" w:sz="4" w:space="0" w:color="A6A6A6"/>
              <w:bottom w:val="nil"/>
              <w:right w:val="single" w:sz="4" w:space="0" w:color="A6A6A6"/>
            </w:tcBorders>
            <w:shd w:val="clear" w:color="000000" w:fill="EBF0F9"/>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0,1</w:t>
            </w:r>
          </w:p>
        </w:tc>
        <w:tc>
          <w:tcPr>
            <w:tcW w:w="772" w:type="pct"/>
            <w:tcBorders>
              <w:top w:val="single" w:sz="4" w:space="0" w:color="A6A6A6"/>
              <w:left w:val="single" w:sz="4" w:space="0" w:color="A6A6A6"/>
              <w:bottom w:val="nil"/>
              <w:right w:val="single" w:sz="4" w:space="0" w:color="A6A6A6"/>
            </w:tcBorders>
            <w:shd w:val="clear" w:color="000000" w:fill="9DBADE"/>
            <w:noWrap/>
            <w:vAlign w:val="bottom"/>
            <w:hideMark/>
          </w:tcPr>
          <w:p w:rsidR="004759EE" w:rsidRPr="007C253F" w:rsidRDefault="004759EE"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0,7</w:t>
            </w:r>
          </w:p>
        </w:tc>
      </w:tr>
      <w:tr w:rsidR="004759EE" w:rsidRPr="007C253F" w:rsidTr="004759EE">
        <w:trPr>
          <w:trHeight w:val="227"/>
        </w:trPr>
        <w:tc>
          <w:tcPr>
            <w:tcW w:w="181" w:type="pct"/>
            <w:tcBorders>
              <w:top w:val="single" w:sz="4" w:space="0" w:color="auto"/>
              <w:left w:val="single" w:sz="4" w:space="0" w:color="A6A6A6"/>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rPr>
                <w:rFonts w:ascii="Arial" w:eastAsia="Times New Roman" w:hAnsi="Arial" w:cs="Arial"/>
                <w:b/>
                <w:bCs/>
                <w:color w:val="000000"/>
                <w:sz w:val="18"/>
                <w:szCs w:val="18"/>
                <w:lang w:eastAsia="nb-NO"/>
              </w:rPr>
            </w:pPr>
          </w:p>
        </w:tc>
        <w:tc>
          <w:tcPr>
            <w:tcW w:w="699" w:type="pct"/>
            <w:tcBorders>
              <w:top w:val="single" w:sz="4" w:space="0" w:color="auto"/>
              <w:left w:val="single" w:sz="4" w:space="0" w:color="A6A6A6"/>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rPr>
                <w:rFonts w:ascii="Arial" w:eastAsia="Times New Roman" w:hAnsi="Arial" w:cs="Arial"/>
                <w:b/>
                <w:bCs/>
                <w:color w:val="000000"/>
                <w:sz w:val="18"/>
                <w:szCs w:val="18"/>
                <w:lang w:eastAsia="nb-NO"/>
              </w:rPr>
            </w:pPr>
            <w:r w:rsidRPr="007C253F">
              <w:rPr>
                <w:rFonts w:ascii="Arial" w:eastAsia="Times New Roman" w:hAnsi="Arial" w:cs="Arial"/>
                <w:b/>
                <w:bCs/>
                <w:color w:val="000000"/>
                <w:sz w:val="18"/>
                <w:szCs w:val="18"/>
                <w:lang w:eastAsia="nb-NO"/>
              </w:rPr>
              <w:t> Totalsum</w:t>
            </w:r>
          </w:p>
        </w:tc>
        <w:tc>
          <w:tcPr>
            <w:tcW w:w="981" w:type="pct"/>
            <w:tcBorders>
              <w:top w:val="single" w:sz="4" w:space="0" w:color="auto"/>
              <w:left w:val="single" w:sz="4" w:space="0" w:color="A6A6A6"/>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rPr>
                <w:rFonts w:ascii="Arial" w:eastAsia="Times New Roman" w:hAnsi="Arial" w:cs="Arial"/>
                <w:b/>
                <w:bCs/>
                <w:color w:val="000000"/>
                <w:sz w:val="18"/>
                <w:szCs w:val="18"/>
                <w:lang w:eastAsia="nb-NO"/>
              </w:rPr>
            </w:pPr>
            <w:r w:rsidRPr="007C253F">
              <w:rPr>
                <w:rFonts w:ascii="Arial" w:eastAsia="Times New Roman" w:hAnsi="Arial" w:cs="Arial"/>
                <w:b/>
                <w:bCs/>
                <w:color w:val="000000"/>
                <w:sz w:val="18"/>
                <w:szCs w:val="18"/>
                <w:lang w:eastAsia="nb-NO"/>
              </w:rPr>
              <w:t> </w:t>
            </w:r>
          </w:p>
        </w:tc>
        <w:tc>
          <w:tcPr>
            <w:tcW w:w="355" w:type="pct"/>
            <w:tcBorders>
              <w:top w:val="single" w:sz="4" w:space="0" w:color="auto"/>
              <w:left w:val="single" w:sz="4" w:space="0" w:color="A6A6A6"/>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jc w:val="center"/>
              <w:rPr>
                <w:rFonts w:ascii="Arial" w:eastAsia="Times New Roman" w:hAnsi="Arial" w:cs="Arial"/>
                <w:b/>
                <w:bCs/>
                <w:color w:val="000000"/>
                <w:sz w:val="18"/>
                <w:szCs w:val="18"/>
                <w:lang w:eastAsia="nb-NO"/>
              </w:rPr>
            </w:pPr>
            <w:r w:rsidRPr="007C253F">
              <w:rPr>
                <w:rFonts w:ascii="Arial" w:eastAsia="Times New Roman" w:hAnsi="Arial" w:cs="Arial"/>
                <w:b/>
                <w:bCs/>
                <w:color w:val="000000"/>
                <w:sz w:val="18"/>
                <w:szCs w:val="18"/>
                <w:lang w:eastAsia="nb-NO"/>
              </w:rPr>
              <w:t>5 456</w:t>
            </w:r>
          </w:p>
        </w:tc>
        <w:tc>
          <w:tcPr>
            <w:tcW w:w="355" w:type="pct"/>
            <w:tcBorders>
              <w:top w:val="single" w:sz="4" w:space="0" w:color="auto"/>
              <w:left w:val="single" w:sz="4" w:space="0" w:color="A6A6A6"/>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jc w:val="center"/>
              <w:rPr>
                <w:rFonts w:ascii="Arial" w:eastAsia="Times New Roman" w:hAnsi="Arial" w:cs="Arial"/>
                <w:b/>
                <w:bCs/>
                <w:color w:val="000000"/>
                <w:sz w:val="18"/>
                <w:szCs w:val="18"/>
                <w:lang w:eastAsia="nb-NO"/>
              </w:rPr>
            </w:pPr>
            <w:r w:rsidRPr="007C253F">
              <w:rPr>
                <w:rFonts w:ascii="Arial" w:eastAsia="Times New Roman" w:hAnsi="Arial" w:cs="Arial"/>
                <w:b/>
                <w:bCs/>
                <w:color w:val="000000"/>
                <w:sz w:val="18"/>
                <w:szCs w:val="18"/>
                <w:lang w:eastAsia="nb-NO"/>
              </w:rPr>
              <w:t>3 764</w:t>
            </w:r>
          </w:p>
        </w:tc>
        <w:tc>
          <w:tcPr>
            <w:tcW w:w="563" w:type="pct"/>
            <w:tcBorders>
              <w:top w:val="single" w:sz="4" w:space="0" w:color="auto"/>
              <w:left w:val="nil"/>
              <w:bottom w:val="nil"/>
              <w:right w:val="single" w:sz="4" w:space="0" w:color="A6A6A6"/>
            </w:tcBorders>
            <w:shd w:val="clear" w:color="auto" w:fill="auto"/>
            <w:noWrap/>
            <w:vAlign w:val="bottom"/>
            <w:hideMark/>
          </w:tcPr>
          <w:p w:rsidR="007C253F" w:rsidRPr="007C253F" w:rsidRDefault="007C253F"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-1 692</w:t>
            </w:r>
          </w:p>
        </w:tc>
        <w:tc>
          <w:tcPr>
            <w:tcW w:w="478" w:type="pct"/>
            <w:tcBorders>
              <w:top w:val="single" w:sz="4" w:space="0" w:color="auto"/>
              <w:left w:val="nil"/>
              <w:bottom w:val="nil"/>
              <w:right w:val="single" w:sz="4" w:space="0" w:color="A6A6A6"/>
            </w:tcBorders>
            <w:shd w:val="clear" w:color="auto" w:fill="auto"/>
            <w:noWrap/>
            <w:vAlign w:val="bottom"/>
            <w:hideMark/>
          </w:tcPr>
          <w:p w:rsidR="007C253F" w:rsidRPr="007C253F" w:rsidRDefault="007C253F"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-31,0</w:t>
            </w:r>
          </w:p>
        </w:tc>
        <w:tc>
          <w:tcPr>
            <w:tcW w:w="616" w:type="pct"/>
            <w:tcBorders>
              <w:top w:val="single" w:sz="4" w:space="0" w:color="auto"/>
              <w:left w:val="single" w:sz="4" w:space="0" w:color="A6A6A6"/>
              <w:bottom w:val="nil"/>
              <w:right w:val="single" w:sz="4" w:space="0" w:color="A6A6A6"/>
            </w:tcBorders>
            <w:shd w:val="clear" w:color="000000" w:fill="F8696B"/>
            <w:noWrap/>
            <w:vAlign w:val="bottom"/>
            <w:hideMark/>
          </w:tcPr>
          <w:p w:rsidR="007C253F" w:rsidRPr="007C253F" w:rsidRDefault="007C253F"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-6,6</w:t>
            </w:r>
          </w:p>
        </w:tc>
        <w:tc>
          <w:tcPr>
            <w:tcW w:w="772" w:type="pct"/>
            <w:tcBorders>
              <w:top w:val="single" w:sz="4" w:space="0" w:color="auto"/>
              <w:left w:val="single" w:sz="4" w:space="0" w:color="A6A6A6"/>
              <w:bottom w:val="nil"/>
              <w:right w:val="single" w:sz="4" w:space="0" w:color="A6A6A6"/>
            </w:tcBorders>
            <w:shd w:val="clear" w:color="000000" w:fill="9BB8DD"/>
            <w:noWrap/>
            <w:vAlign w:val="bottom"/>
            <w:hideMark/>
          </w:tcPr>
          <w:p w:rsidR="007C253F" w:rsidRPr="007C253F" w:rsidRDefault="007C253F"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0,8</w:t>
            </w:r>
          </w:p>
        </w:tc>
      </w:tr>
      <w:tr w:rsidR="004759EE" w:rsidRPr="007C253F" w:rsidTr="004759EE">
        <w:trPr>
          <w:trHeight w:val="227"/>
        </w:trPr>
        <w:tc>
          <w:tcPr>
            <w:tcW w:w="181" w:type="pct"/>
            <w:tcBorders>
              <w:top w:val="single" w:sz="4" w:space="0" w:color="auto"/>
              <w:left w:val="single" w:sz="4" w:space="0" w:color="A6A6A6"/>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 </w:t>
            </w:r>
          </w:p>
        </w:tc>
        <w:tc>
          <w:tcPr>
            <w:tcW w:w="699" w:type="pct"/>
            <w:tcBorders>
              <w:top w:val="single" w:sz="4" w:space="0" w:color="auto"/>
              <w:left w:val="nil"/>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Sysselsatte</w:t>
            </w:r>
          </w:p>
        </w:tc>
        <w:tc>
          <w:tcPr>
            <w:tcW w:w="981" w:type="pct"/>
            <w:tcBorders>
              <w:top w:val="single" w:sz="4" w:space="0" w:color="auto"/>
              <w:left w:val="nil"/>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 </w:t>
            </w:r>
          </w:p>
        </w:tc>
        <w:tc>
          <w:tcPr>
            <w:tcW w:w="355" w:type="pct"/>
            <w:tcBorders>
              <w:top w:val="single" w:sz="4" w:space="0" w:color="auto"/>
              <w:left w:val="nil"/>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25 531</w:t>
            </w:r>
          </w:p>
        </w:tc>
        <w:tc>
          <w:tcPr>
            <w:tcW w:w="355" w:type="pct"/>
            <w:tcBorders>
              <w:top w:val="single" w:sz="4" w:space="0" w:color="auto"/>
              <w:left w:val="nil"/>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24 178</w:t>
            </w:r>
          </w:p>
        </w:tc>
        <w:tc>
          <w:tcPr>
            <w:tcW w:w="563" w:type="pct"/>
            <w:tcBorders>
              <w:top w:val="single" w:sz="4" w:space="0" w:color="auto"/>
              <w:left w:val="nil"/>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-1 353</w:t>
            </w:r>
          </w:p>
        </w:tc>
        <w:tc>
          <w:tcPr>
            <w:tcW w:w="478" w:type="pct"/>
            <w:tcBorders>
              <w:top w:val="single" w:sz="4" w:space="0" w:color="auto"/>
              <w:left w:val="nil"/>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-5,3</w:t>
            </w:r>
          </w:p>
        </w:tc>
        <w:tc>
          <w:tcPr>
            <w:tcW w:w="616" w:type="pct"/>
            <w:tcBorders>
              <w:top w:val="single" w:sz="4" w:space="0" w:color="auto"/>
              <w:left w:val="nil"/>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 </w:t>
            </w:r>
          </w:p>
        </w:tc>
        <w:tc>
          <w:tcPr>
            <w:tcW w:w="772" w:type="pct"/>
            <w:tcBorders>
              <w:top w:val="single" w:sz="4" w:space="0" w:color="auto"/>
              <w:left w:val="nil"/>
              <w:bottom w:val="single" w:sz="4" w:space="0" w:color="A6A6A6"/>
              <w:right w:val="single" w:sz="4" w:space="0" w:color="A6A6A6"/>
            </w:tcBorders>
            <w:shd w:val="clear" w:color="auto" w:fill="auto"/>
            <w:noWrap/>
            <w:vAlign w:val="bottom"/>
            <w:hideMark/>
          </w:tcPr>
          <w:p w:rsidR="007C253F" w:rsidRPr="007C253F" w:rsidRDefault="007C253F" w:rsidP="007C253F">
            <w:pPr>
              <w:spacing w:after="0" w:line="240" w:lineRule="auto"/>
              <w:jc w:val="center"/>
              <w:rPr>
                <w:rFonts w:ascii="Arial" w:eastAsia="Times New Roman" w:hAnsi="Arial" w:cs="Arial"/>
                <w:color w:val="000000"/>
                <w:sz w:val="18"/>
                <w:szCs w:val="18"/>
                <w:lang w:eastAsia="nb-NO"/>
              </w:rPr>
            </w:pPr>
            <w:r w:rsidRPr="007C253F">
              <w:rPr>
                <w:rFonts w:ascii="Arial" w:eastAsia="Times New Roman" w:hAnsi="Arial" w:cs="Arial"/>
                <w:color w:val="000000"/>
                <w:sz w:val="18"/>
                <w:szCs w:val="18"/>
                <w:lang w:eastAsia="nb-NO"/>
              </w:rPr>
              <w:t> </w:t>
            </w:r>
          </w:p>
        </w:tc>
      </w:tr>
    </w:tbl>
    <w:p w:rsidR="005B0981" w:rsidRPr="005B0981" w:rsidRDefault="005B0981" w:rsidP="005B0981"/>
    <w:p w:rsidR="009B460B" w:rsidRDefault="009B460B" w:rsidP="00F05FC7">
      <w:r>
        <w:t xml:space="preserve">Den </w:t>
      </w:r>
      <w:r w:rsidR="009F7814">
        <w:t xml:space="preserve">nest </w:t>
      </w:r>
      <w:r>
        <w:t xml:space="preserve">nederste linjen viser at antall arbeidsplasser i basisnæringene sank fra </w:t>
      </w:r>
      <w:r w:rsidR="009F7814">
        <w:t>5 456</w:t>
      </w:r>
      <w:r>
        <w:t xml:space="preserve"> til </w:t>
      </w:r>
      <w:r w:rsidR="009F7814">
        <w:t>3 764</w:t>
      </w:r>
      <w:r>
        <w:t xml:space="preserve">, og at nedgangen tilsvarer </w:t>
      </w:r>
      <w:r w:rsidR="009F7814">
        <w:t>1 692</w:t>
      </w:r>
      <w:r>
        <w:t xml:space="preserve"> arbeidsplasser. </w:t>
      </w:r>
      <w:r w:rsidR="009F7814">
        <w:t>E</w:t>
      </w:r>
      <w:r>
        <w:t xml:space="preserve">n nedgang som i prosent tilsvarer </w:t>
      </w:r>
      <w:r w:rsidR="005D7118">
        <w:t xml:space="preserve">hele </w:t>
      </w:r>
      <w:r w:rsidR="009F7814">
        <w:t>31,0</w:t>
      </w:r>
      <w:r>
        <w:t xml:space="preserve"> prosent. Vekstimpulsen er på -6,</w:t>
      </w:r>
      <w:r w:rsidR="009F7814">
        <w:t>6</w:t>
      </w:r>
      <w:r w:rsidR="002F7899">
        <w:t xml:space="preserve"> prosent</w:t>
      </w:r>
      <w:r>
        <w:t xml:space="preserve">. Det betyr at nedgangen på </w:t>
      </w:r>
      <w:r w:rsidR="009F7814">
        <w:t>1 692</w:t>
      </w:r>
      <w:r>
        <w:t xml:space="preserve"> arbeidsplasser tilsvarer 6,</w:t>
      </w:r>
      <w:r w:rsidR="009F7814">
        <w:t>6</w:t>
      </w:r>
      <w:r>
        <w:t xml:space="preserve"> prosent av samlet sysselsetting i </w:t>
      </w:r>
      <w:proofErr w:type="spellStart"/>
      <w:r w:rsidR="009F7814">
        <w:t>Glåmdal</w:t>
      </w:r>
      <w:proofErr w:type="spellEnd"/>
      <w:r>
        <w:t>. I samme periode har Norge fått en vekstimpuls på 0,</w:t>
      </w:r>
      <w:r w:rsidR="009F7814">
        <w:t>8</w:t>
      </w:r>
      <w:r>
        <w:t xml:space="preserve"> prosent fra basisnæringene.</w:t>
      </w:r>
    </w:p>
    <w:p w:rsidR="009F7814" w:rsidRDefault="009F7814" w:rsidP="00F05FC7">
      <w:r>
        <w:t xml:space="preserve">Arbeidsplassnedgangen har skjedd i bransjene anna industri, verkstedindustri, næringsmidler, landbruk og prosessindustri. Det er de bransjene som </w:t>
      </w:r>
      <w:proofErr w:type="spellStart"/>
      <w:r>
        <w:t>Glåmdal</w:t>
      </w:r>
      <w:proofErr w:type="spellEnd"/>
      <w:r>
        <w:t xml:space="preserve"> hadde mye av i 2000, og bransjer som har hatt nedgang på landsbasis også, med unntak av verkstedindustrien som har stått omtrent stille.</w:t>
      </w:r>
      <w:r w:rsidR="009B460B">
        <w:t xml:space="preserve"> </w:t>
      </w:r>
    </w:p>
    <w:p w:rsidR="009F7814" w:rsidRDefault="009F7814" w:rsidP="00F05FC7">
      <w:r>
        <w:t>Det har vært vekst i teknisk/vitenskapelige tjenester og tele</w:t>
      </w:r>
      <w:r w:rsidR="002F7899">
        <w:t>/IKT</w:t>
      </w:r>
      <w:r>
        <w:t>, men dette er bransjer hvor det var ganske få arbeidsplasser i 2000, så den høye prosentvise veksten gir dermed ganske få ekstra arbeidsplasser, og dermed også små vekstimpulser.</w:t>
      </w:r>
    </w:p>
    <w:p w:rsidR="00AC7DAD" w:rsidRDefault="00AC7DAD" w:rsidP="00F05FC7">
      <w:r>
        <w:br w:type="page"/>
      </w:r>
    </w:p>
    <w:p w:rsidR="009F7814" w:rsidRDefault="009F7814" w:rsidP="00F05FC7">
      <w:pPr>
        <w:sectPr w:rsidR="009F7814" w:rsidSect="00687F25">
          <w:type w:val="continuous"/>
          <w:pgSz w:w="11907" w:h="16840" w:code="9"/>
          <w:pgMar w:top="1440" w:right="1080" w:bottom="1440" w:left="1080" w:header="709" w:footer="709" w:gutter="0"/>
          <w:cols w:space="708"/>
          <w:docGrid w:linePitch="360"/>
        </w:sectPr>
      </w:pPr>
    </w:p>
    <w:p w:rsidR="00AC7DAD" w:rsidRDefault="006565F2" w:rsidP="006565F2">
      <w:pPr>
        <w:pStyle w:val="Overskrift3"/>
      </w:pPr>
      <w:bookmarkStart w:id="32" w:name="_Toc400090058"/>
      <w:r>
        <w:lastRenderedPageBreak/>
        <w:t>I</w:t>
      </w:r>
      <w:r w:rsidR="00AC7DAD">
        <w:t>ndeksert vekst</w:t>
      </w:r>
      <w:bookmarkEnd w:id="32"/>
      <w:r w:rsidR="00AC7DAD">
        <w:t xml:space="preserve"> </w:t>
      </w:r>
    </w:p>
    <w:p w:rsidR="00AC7DAD" w:rsidRDefault="0002100C" w:rsidP="00AC7DAD">
      <w:r>
        <w:t>Tabellen på forrige side oppsummerte situasjonen i basisnæringene fra 200</w:t>
      </w:r>
      <w:r w:rsidR="00E15B73">
        <w:t>0</w:t>
      </w:r>
      <w:r>
        <w:t xml:space="preserve"> til i dag. Figuren </w:t>
      </w:r>
      <w:r w:rsidR="00E15B73">
        <w:t>til høyre</w:t>
      </w:r>
      <w:r>
        <w:t xml:space="preserve"> av viser den indekserte arbeidsplassutviklingen i basisnæringene i </w:t>
      </w:r>
      <w:proofErr w:type="spellStart"/>
      <w:r w:rsidR="009F7814">
        <w:t>Glåmdal</w:t>
      </w:r>
      <w:proofErr w:type="spellEnd"/>
      <w:r w:rsidR="009F7814">
        <w:t xml:space="preserve"> </w:t>
      </w:r>
      <w:r>
        <w:t xml:space="preserve">fra 2000 til 2013. </w:t>
      </w:r>
    </w:p>
    <w:p w:rsidR="00E15B73" w:rsidRDefault="00E15B73" w:rsidP="00AC7DAD">
      <w:r>
        <w:t>Vi ser at det har vært en vekst i teknologiske tjenester på 4</w:t>
      </w:r>
      <w:r w:rsidR="0023507B">
        <w:t>8</w:t>
      </w:r>
      <w:r>
        <w:t>,</w:t>
      </w:r>
      <w:r w:rsidR="0023507B">
        <w:t>2</w:t>
      </w:r>
      <w:r>
        <w:t xml:space="preserve"> prosent siden 2000. I de naturbaserte tjenestene, som hovedsakelig består av landbruk, har det vært en nedgang på </w:t>
      </w:r>
      <w:r w:rsidR="0023507B">
        <w:t>13,2</w:t>
      </w:r>
      <w:r>
        <w:t xml:space="preserve"> prosent.</w:t>
      </w:r>
    </w:p>
    <w:p w:rsidR="00E15B73" w:rsidRDefault="005D7118" w:rsidP="00AC7DAD">
      <w:r>
        <w:t>Industrien</w:t>
      </w:r>
      <w:r w:rsidR="00E15B73">
        <w:t xml:space="preserve"> er nesten halvert siden 2000.</w:t>
      </w:r>
      <w:r>
        <w:t xml:space="preserve"> </w:t>
      </w:r>
      <w:r w:rsidR="0023507B">
        <w:t>Nesten a</w:t>
      </w:r>
      <w:r>
        <w:t xml:space="preserve">nnenhver arbeidsplass i industrien i </w:t>
      </w:r>
      <w:proofErr w:type="spellStart"/>
      <w:r w:rsidR="0023507B">
        <w:t>Glåmdal</w:t>
      </w:r>
      <w:proofErr w:type="spellEnd"/>
      <w:r w:rsidR="0023507B">
        <w:t xml:space="preserve"> </w:t>
      </w:r>
      <w:r>
        <w:t>har forsvunnet i løpet av denne perioden.</w:t>
      </w:r>
    </w:p>
    <w:p w:rsidR="0002100C" w:rsidRDefault="00CC7815" w:rsidP="00AC7DAD">
      <w:r>
        <w:t xml:space="preserve">Figuren under </w:t>
      </w:r>
      <w:r w:rsidR="0002100C">
        <w:t>viser den indekserte utviklingen i basisnæringene på landsbasis. De teknologiske tjenestene har vok</w:t>
      </w:r>
      <w:r>
        <w:t>st mye. Veksten har vært på 68</w:t>
      </w:r>
      <w:r w:rsidR="0002100C">
        <w:t xml:space="preserve"> prosent fra 2000 til 2013. </w:t>
      </w:r>
      <w:r w:rsidR="008A62B4">
        <w:t xml:space="preserve">Industrien har hatt en nedgang i antall arbeidsplasser på 10,5 prosent, mens de naturbaserte næringene har avtatt med 25 prosent. </w:t>
      </w:r>
    </w:p>
    <w:p w:rsidR="0023507B" w:rsidRDefault="00E15B73" w:rsidP="00E15B73">
      <w:r>
        <w:t xml:space="preserve">Når vi sammenlikner veksten i </w:t>
      </w:r>
      <w:proofErr w:type="spellStart"/>
      <w:r w:rsidR="0023507B">
        <w:t>Glåmdal</w:t>
      </w:r>
      <w:proofErr w:type="spellEnd"/>
      <w:r w:rsidR="0023507B">
        <w:t xml:space="preserve"> </w:t>
      </w:r>
      <w:r>
        <w:t>og veksten på landsbasis</w:t>
      </w:r>
      <w:r w:rsidR="005D7118">
        <w:t xml:space="preserve"> i de to figurene til høyre</w:t>
      </w:r>
      <w:r>
        <w:t xml:space="preserve">, ser vi at veksten i de teknologiske tjenestene i </w:t>
      </w:r>
      <w:proofErr w:type="spellStart"/>
      <w:r w:rsidR="0023507B">
        <w:t>Glåmdal</w:t>
      </w:r>
      <w:proofErr w:type="spellEnd"/>
      <w:r w:rsidR="0023507B">
        <w:t xml:space="preserve"> </w:t>
      </w:r>
      <w:r>
        <w:t xml:space="preserve">er lavere enn veksten på landsbasis. </w:t>
      </w:r>
      <w:proofErr w:type="spellStart"/>
      <w:r w:rsidR="0023507B">
        <w:t>Glåmdal</w:t>
      </w:r>
      <w:proofErr w:type="spellEnd"/>
      <w:r w:rsidR="0023507B">
        <w:t xml:space="preserve"> har ikke hatt vekst i de teknologiske tjenestene de siste i årene. Veksten kom fra 2000 til 2004.</w:t>
      </w:r>
    </w:p>
    <w:p w:rsidR="00E15B73" w:rsidRDefault="00E15B73" w:rsidP="00E15B73">
      <w:r>
        <w:t xml:space="preserve">De naturbaserte næringene har klart seg </w:t>
      </w:r>
      <w:r w:rsidR="005D7118">
        <w:t>godt</w:t>
      </w:r>
      <w:r>
        <w:t xml:space="preserve"> i </w:t>
      </w:r>
      <w:proofErr w:type="spellStart"/>
      <w:r w:rsidR="0023507B">
        <w:t>Glåmdal</w:t>
      </w:r>
      <w:proofErr w:type="spellEnd"/>
      <w:r>
        <w:t xml:space="preserve">. Nedgangen på </w:t>
      </w:r>
      <w:r w:rsidR="0023507B">
        <w:t>13,2</w:t>
      </w:r>
      <w:r>
        <w:t xml:space="preserve"> prosent er faktisk ganske bra, når vi ser at Norge har hatt en nedgang på hele 25 prosent i samme periode.</w:t>
      </w:r>
    </w:p>
    <w:p w:rsidR="00E15B73" w:rsidRDefault="00E15B73" w:rsidP="00E15B73">
      <w:r>
        <w:t xml:space="preserve">Industrien har falt 10,5 prosent på landsbasis. Det er langt mindre enn fallet i </w:t>
      </w:r>
      <w:proofErr w:type="spellStart"/>
      <w:r w:rsidR="0023507B">
        <w:t>Glåmdal</w:t>
      </w:r>
      <w:proofErr w:type="spellEnd"/>
      <w:r>
        <w:t xml:space="preserve">, som er på hele </w:t>
      </w:r>
      <w:r w:rsidR="0023507B">
        <w:t>42,5</w:t>
      </w:r>
      <w:r>
        <w:t xml:space="preserve"> prosent.</w:t>
      </w:r>
    </w:p>
    <w:p w:rsidR="00E15B73" w:rsidRDefault="00E15B73" w:rsidP="00E15B73">
      <w:r>
        <w:t xml:space="preserve">Det er altså industrinedgangen som har vært problemet i </w:t>
      </w:r>
      <w:proofErr w:type="spellStart"/>
      <w:r w:rsidR="0023507B">
        <w:t>Glåmdal</w:t>
      </w:r>
      <w:proofErr w:type="spellEnd"/>
      <w:r>
        <w:t>. Det er industrinedgangen som har betydd absolutt mest for den samlede nedgangen, og det er industrien som har utviklet seg langt dårligere enn på landsbasis.</w:t>
      </w:r>
    </w:p>
    <w:p w:rsidR="00AC7DAD" w:rsidRDefault="00AC7DAD" w:rsidP="00213338">
      <w:pPr>
        <w:pStyle w:val="Bildetekst"/>
      </w:pPr>
      <w:r>
        <w:br w:type="column"/>
      </w:r>
      <w:r w:rsidR="0007529F">
        <w:rPr>
          <w:noProof/>
          <w:lang w:eastAsia="nb-NO"/>
        </w:rPr>
        <w:lastRenderedPageBreak/>
        <w:drawing>
          <wp:inline distT="0" distB="0" distL="0" distR="0">
            <wp:extent cx="3019425" cy="3171825"/>
            <wp:effectExtent l="0" t="0" r="0" b="0"/>
            <wp:docPr id="70" name="Diagram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07529F">
        <w:t xml:space="preserve"> </w:t>
      </w:r>
      <w:r>
        <w:t xml:space="preserve">Figur </w:t>
      </w:r>
      <w:r w:rsidR="004B3D9E">
        <w:fldChar w:fldCharType="begin"/>
      </w:r>
      <w:r>
        <w:instrText xml:space="preserve"> SEQ Figur \* ARABIC </w:instrText>
      </w:r>
      <w:r w:rsidR="004B3D9E">
        <w:fldChar w:fldCharType="separate"/>
      </w:r>
      <w:r w:rsidR="00CD5BFF">
        <w:rPr>
          <w:noProof/>
        </w:rPr>
        <w:t>24</w:t>
      </w:r>
      <w:r w:rsidR="004B3D9E">
        <w:fldChar w:fldCharType="end"/>
      </w:r>
      <w:r>
        <w:t xml:space="preserve">: Indeksert vekst i </w:t>
      </w:r>
      <w:proofErr w:type="spellStart"/>
      <w:r>
        <w:t>sub-næringene</w:t>
      </w:r>
      <w:proofErr w:type="spellEnd"/>
      <w:r>
        <w:t xml:space="preserve"> til basisnæringene i </w:t>
      </w:r>
      <w:proofErr w:type="spellStart"/>
      <w:r w:rsidR="0007529F">
        <w:t>Glåmdal</w:t>
      </w:r>
      <w:proofErr w:type="spellEnd"/>
      <w:r>
        <w:t xml:space="preserve">, 2000-2013. </w:t>
      </w:r>
    </w:p>
    <w:p w:rsidR="00AC7DAD" w:rsidRDefault="00925431" w:rsidP="00AC7DAD">
      <w:r>
        <w:rPr>
          <w:noProof/>
          <w:lang w:eastAsia="nb-NO"/>
        </w:rPr>
        <w:drawing>
          <wp:inline distT="0" distB="0" distL="0" distR="0">
            <wp:extent cx="2869565" cy="3426460"/>
            <wp:effectExtent l="0" t="0" r="6985" b="254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A2F81" w:rsidRDefault="00AC7DAD" w:rsidP="00BB4B09">
      <w:pPr>
        <w:pStyle w:val="Bildetekst"/>
        <w:sectPr w:rsidR="00FA2F81" w:rsidSect="00687F25">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25</w:t>
      </w:r>
      <w:r w:rsidR="004B3D9E">
        <w:fldChar w:fldCharType="end"/>
      </w:r>
      <w:r>
        <w:t xml:space="preserve">: Indeksert vekst i </w:t>
      </w:r>
      <w:proofErr w:type="spellStart"/>
      <w:r>
        <w:t>sub-næringene</w:t>
      </w:r>
      <w:proofErr w:type="spellEnd"/>
      <w:r>
        <w:t xml:space="preserve"> til basisnæringene i Norge, 2000-2013</w:t>
      </w:r>
      <w:r w:rsidR="0011277A">
        <w:br w:type="page"/>
      </w:r>
    </w:p>
    <w:p w:rsidR="00536E79" w:rsidRDefault="00577158" w:rsidP="00B1748F">
      <w:pPr>
        <w:pStyle w:val="Overskrift3"/>
      </w:pPr>
      <w:bookmarkStart w:id="33" w:name="_Toc400090059"/>
      <w:r>
        <w:lastRenderedPageBreak/>
        <w:t xml:space="preserve">Nivå </w:t>
      </w:r>
      <w:bookmarkEnd w:id="33"/>
      <w:r w:rsidR="003C3709">
        <w:t>basisnæringer</w:t>
      </w:r>
    </w:p>
    <w:p w:rsidR="00536E79" w:rsidRDefault="00963493" w:rsidP="00536E79">
      <w:r>
        <w:t xml:space="preserve">Til høyre ser vi nivået til basisnæringene i kommunene i </w:t>
      </w:r>
      <w:r w:rsidR="0023507B">
        <w:t>Hedmark</w:t>
      </w:r>
      <w:r>
        <w:t xml:space="preserve"> i 2013. Nivået er målt som antall arbeidsplasser delt på sysselsettingen. </w:t>
      </w:r>
    </w:p>
    <w:p w:rsidR="004C068B" w:rsidRDefault="0023507B" w:rsidP="00536E79">
      <w:r>
        <w:t>Alvdal</w:t>
      </w:r>
      <w:r w:rsidR="00680F6B">
        <w:t xml:space="preserve"> har høyest andel basisnæringer, men er likevel bare rangert som nummer </w:t>
      </w:r>
      <w:r>
        <w:t>73</w:t>
      </w:r>
      <w:r w:rsidR="00680F6B">
        <w:t xml:space="preserve"> av de 428 kommunene i Norge.</w:t>
      </w:r>
    </w:p>
    <w:p w:rsidR="00680F6B" w:rsidRDefault="0023507B" w:rsidP="00536E79">
      <w:r>
        <w:t>Våler har nest høyest andel av sysselsettingen av kommunene i Hedmark, og er nummer 80 av kommunene i Norge. Det er mye av både industri og landbruk i Våler, men nesten ikke teknologiske tjenester.</w:t>
      </w:r>
      <w:r w:rsidR="003C3709">
        <w:t xml:space="preserve"> Grue har også en forholdsvis høy andel av basisnæringer. Andelen basisnæringer i Åsnes, Eidskog, Sør-Odal, Nord-Odal og Kongsvinger er litt under gjennomsnittet for norske kommuner.</w:t>
      </w:r>
    </w:p>
    <w:p w:rsidR="003C3709" w:rsidRDefault="003C3709" w:rsidP="003C3709">
      <w:pPr>
        <w:pStyle w:val="Overskrift3"/>
      </w:pPr>
      <w:r>
        <w:t>Vekstimpulser basisnæringer</w:t>
      </w:r>
    </w:p>
    <w:p w:rsidR="00D369B1" w:rsidRDefault="00B94A5A" w:rsidP="00536E79">
      <w:r>
        <w:t>Figur 2</w:t>
      </w:r>
      <w:r w:rsidR="00680F6B">
        <w:t>6</w:t>
      </w:r>
      <w:r>
        <w:t xml:space="preserve"> viser hvordan vekstimpulsene</w:t>
      </w:r>
      <w:r w:rsidR="00D369B1">
        <w:t xml:space="preserve"> i basisnæringene</w:t>
      </w:r>
      <w:r>
        <w:t xml:space="preserve"> har vært fra </w:t>
      </w:r>
      <w:r w:rsidR="00D369B1">
        <w:t>200</w:t>
      </w:r>
      <w:r w:rsidR="00680F6B">
        <w:t>0</w:t>
      </w:r>
      <w:r w:rsidR="00D369B1">
        <w:t xml:space="preserve"> til 2013 i kommunene i </w:t>
      </w:r>
      <w:r w:rsidR="003C3709">
        <w:t>Hedmark</w:t>
      </w:r>
      <w:r w:rsidR="00D369B1">
        <w:t xml:space="preserve">. </w:t>
      </w:r>
    </w:p>
    <w:p w:rsidR="002B7918" w:rsidRDefault="002B7918" w:rsidP="00536E79">
      <w:r>
        <w:t xml:space="preserve">Nord-Odal har hatt de sterkeste vekstimpulsene fra basisnæringene av alle kommunene i Hedmark. Det er bare Nord-Odal og Alvdal som har hatt vekst i industrisysselsettingen. </w:t>
      </w:r>
    </w:p>
    <w:p w:rsidR="00726A0E" w:rsidRDefault="002B7918" w:rsidP="00536E79">
      <w:r>
        <w:t xml:space="preserve">Andre kommuner i </w:t>
      </w:r>
      <w:proofErr w:type="spellStart"/>
      <w:r>
        <w:t>Glåmdal</w:t>
      </w:r>
      <w:proofErr w:type="spellEnd"/>
      <w:r>
        <w:t>, som Eidskog, Kongsvinger, Grue, Åsnes og Våler</w:t>
      </w:r>
      <w:r w:rsidR="00E0009D">
        <w:t>, har</w:t>
      </w:r>
      <w:r>
        <w:t xml:space="preserve"> alle hatt ganske sterk nedgang. I disse kommunene har det også vært nedgang i landbruket. Kongsvinger og Grue har hatt vekst i teknologiske tjenester, men det har ikke oppveid nedgangen i industrien.</w:t>
      </w:r>
    </w:p>
    <w:p w:rsidR="00F129D4" w:rsidRDefault="00F129D4" w:rsidP="00536E79"/>
    <w:p w:rsidR="00536E79" w:rsidRDefault="00536E79" w:rsidP="00536E79">
      <w:r>
        <w:br w:type="column"/>
      </w:r>
      <w:r w:rsidR="008529BC">
        <w:rPr>
          <w:noProof/>
          <w:lang w:eastAsia="nb-NO"/>
        </w:rPr>
        <w:lastRenderedPageBreak/>
        <w:drawing>
          <wp:inline distT="0" distB="0" distL="0" distR="0">
            <wp:extent cx="3248025" cy="3838575"/>
            <wp:effectExtent l="0" t="0" r="0" b="0"/>
            <wp:docPr id="71" name="Diagram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A3364" w:rsidRDefault="00EB56A4" w:rsidP="008529BC">
      <w:pPr>
        <w:pStyle w:val="Bildetekst"/>
      </w:pPr>
      <w:r>
        <w:t xml:space="preserve">Figur </w:t>
      </w:r>
      <w:r w:rsidR="004B3D9E">
        <w:fldChar w:fldCharType="begin"/>
      </w:r>
      <w:r>
        <w:instrText xml:space="preserve"> SEQ Figur \* ARABIC </w:instrText>
      </w:r>
      <w:r w:rsidR="004B3D9E">
        <w:fldChar w:fldCharType="separate"/>
      </w:r>
      <w:r w:rsidR="00CD5BFF">
        <w:rPr>
          <w:noProof/>
        </w:rPr>
        <w:t>26</w:t>
      </w:r>
      <w:r w:rsidR="004B3D9E">
        <w:fldChar w:fldCharType="end"/>
      </w:r>
      <w:r>
        <w:t xml:space="preserve">: Nivå, dvs. antall arbeidsplasser som prosentvis andel av sysselsettingen, i basisnæringene i kommunene i </w:t>
      </w:r>
      <w:r w:rsidR="008529BC">
        <w:t>Hedmark</w:t>
      </w:r>
      <w:r>
        <w:t xml:space="preserve"> i 2013. </w:t>
      </w:r>
    </w:p>
    <w:p w:rsidR="002A3364" w:rsidRDefault="008529BC" w:rsidP="002A3364">
      <w:pPr>
        <w:pStyle w:val="Bildetekst"/>
        <w:sectPr w:rsidR="002A3364" w:rsidSect="00687F25">
          <w:type w:val="continuous"/>
          <w:pgSz w:w="11907" w:h="16840" w:code="9"/>
          <w:pgMar w:top="1440" w:right="1080" w:bottom="1440" w:left="1080" w:header="709" w:footer="709" w:gutter="0"/>
          <w:cols w:num="2" w:space="708"/>
          <w:docGrid w:linePitch="360"/>
        </w:sectPr>
      </w:pPr>
      <w:r>
        <w:rPr>
          <w:noProof/>
          <w:lang w:eastAsia="nb-NO"/>
        </w:rPr>
        <w:drawing>
          <wp:inline distT="0" distB="0" distL="0" distR="0">
            <wp:extent cx="2962275" cy="3790950"/>
            <wp:effectExtent l="0" t="0" r="0" b="0"/>
            <wp:docPr id="73" name="Diagram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t xml:space="preserve"> </w:t>
      </w:r>
      <w:r w:rsidR="002A3364">
        <w:t xml:space="preserve">Figur </w:t>
      </w:r>
      <w:r w:rsidR="004B3D9E">
        <w:fldChar w:fldCharType="begin"/>
      </w:r>
      <w:r w:rsidR="002A3364">
        <w:instrText xml:space="preserve"> SEQ Figur \* ARABIC </w:instrText>
      </w:r>
      <w:r w:rsidR="004B3D9E">
        <w:fldChar w:fldCharType="separate"/>
      </w:r>
      <w:r w:rsidR="00CD5BFF">
        <w:rPr>
          <w:noProof/>
        </w:rPr>
        <w:t>27</w:t>
      </w:r>
      <w:r w:rsidR="004B3D9E">
        <w:fldChar w:fldCharType="end"/>
      </w:r>
      <w:r w:rsidR="002A3364">
        <w:t xml:space="preserve">: </w:t>
      </w:r>
      <w:r w:rsidR="0092404F">
        <w:t>Endring</w:t>
      </w:r>
      <w:r w:rsidR="002A3364">
        <w:t xml:space="preserve"> som andel av sysselsettingen fra </w:t>
      </w:r>
      <w:r w:rsidR="00AB7672">
        <w:t>200</w:t>
      </w:r>
      <w:r w:rsidR="0092404F">
        <w:t>0</w:t>
      </w:r>
      <w:r w:rsidR="002A3364">
        <w:t xml:space="preserve"> til 2013 i basisnæringene i kommunene i </w:t>
      </w:r>
      <w:r>
        <w:t>Hedmark</w:t>
      </w:r>
      <w:r w:rsidR="002A3364">
        <w:t xml:space="preserve">. </w:t>
      </w:r>
      <w:r w:rsidR="002A3364">
        <w:br w:type="page"/>
      </w:r>
    </w:p>
    <w:p w:rsidR="008F2177" w:rsidRDefault="00A73733" w:rsidP="00AB7672">
      <w:pPr>
        <w:pStyle w:val="Overskrift3"/>
      </w:pPr>
      <w:bookmarkStart w:id="34" w:name="_Toc400090060"/>
      <w:r>
        <w:lastRenderedPageBreak/>
        <w:t xml:space="preserve">Dekomponering av veksten </w:t>
      </w:r>
      <w:r w:rsidR="005E4149">
        <w:t>i basisnæringene</w:t>
      </w:r>
      <w:bookmarkEnd w:id="34"/>
    </w:p>
    <w:p w:rsidR="009F6927" w:rsidRDefault="009F6927" w:rsidP="009F6927">
      <w:r>
        <w:t xml:space="preserve">Vi kan dekomponere vekstimpulsene fra basisnæringene i tre faktorer: For det første vil den nasjonale veksten i basisnæringene prege utviklingen. Vi ser i figuren at det var høy nasjonal vekst i årene 2006-2008. Deretter kom finanskrisen og reduserte den nasjonale veksten. Den nasjonale veksten viser hvordan konjunkturene har påvirket veksten i basisnæringene i </w:t>
      </w:r>
      <w:proofErr w:type="spellStart"/>
      <w:r w:rsidR="00D900FD">
        <w:t>Glåmdal</w:t>
      </w:r>
      <w:proofErr w:type="spellEnd"/>
      <w:r>
        <w:t xml:space="preserve">. </w:t>
      </w:r>
    </w:p>
    <w:p w:rsidR="009F6927" w:rsidRDefault="009F6927" w:rsidP="009F6927">
      <w:r>
        <w:t xml:space="preserve">Deretter har vi målt hvor mye av vekstimpulsene som skyldes bransjestrukturen. I </w:t>
      </w:r>
      <w:proofErr w:type="spellStart"/>
      <w:r w:rsidR="00D900FD">
        <w:t>Glåmdal</w:t>
      </w:r>
      <w:proofErr w:type="spellEnd"/>
      <w:r w:rsidR="00D900FD">
        <w:t xml:space="preserve"> </w:t>
      </w:r>
      <w:r>
        <w:t>har bransje</w:t>
      </w:r>
      <w:r w:rsidR="00C819FF">
        <w:softHyphen/>
      </w:r>
      <w:r>
        <w:t>strukturen virket negativt</w:t>
      </w:r>
      <w:r w:rsidR="00D900FD">
        <w:t xml:space="preserve"> i alle periodene unntatt i 2005 (egentlig årene 2003-2005)</w:t>
      </w:r>
      <w:r>
        <w:t xml:space="preserve">. Vi har sett at </w:t>
      </w:r>
      <w:proofErr w:type="spellStart"/>
      <w:r w:rsidR="00D900FD">
        <w:t>Glåmdal</w:t>
      </w:r>
      <w:proofErr w:type="spellEnd"/>
      <w:r w:rsidR="00D900FD">
        <w:t xml:space="preserve"> </w:t>
      </w:r>
      <w:r>
        <w:t>har mye av bransjer som har hatt nedgang, og lite a</w:t>
      </w:r>
      <w:r w:rsidR="00C819FF">
        <w:t>v</w:t>
      </w:r>
      <w:r>
        <w:t xml:space="preserve"> de bransjene som har hatt vekst. I figuren har vi regnet ut nøyaktig </w:t>
      </w:r>
      <w:r w:rsidR="00C819FF">
        <w:t xml:space="preserve">hvor mye </w:t>
      </w:r>
      <w:r>
        <w:t>denne bransje</w:t>
      </w:r>
      <w:r w:rsidR="00C819FF">
        <w:softHyphen/>
      </w:r>
      <w:r>
        <w:t>strukturen har påvirket vekstimpulsene fra basisnæringene.</w:t>
      </w:r>
    </w:p>
    <w:p w:rsidR="009F6927" w:rsidRDefault="009F6927" w:rsidP="009F6927">
      <w:r>
        <w:t xml:space="preserve">De bransjejusterte vekstimpulsene viser hvor mye av utviklingen i basisnæringene som ikke skyldes nasjonale konjunkturer eller bransjestrukturen. Dette er forhold som ikke kan forklares av ytre forhold, og som må finne sin forklaring innad i regionen. </w:t>
      </w:r>
      <w:proofErr w:type="spellStart"/>
      <w:r w:rsidR="00D900FD">
        <w:t>Glåmdal</w:t>
      </w:r>
      <w:proofErr w:type="spellEnd"/>
      <w:r w:rsidR="00D900FD">
        <w:t xml:space="preserve"> </w:t>
      </w:r>
      <w:r>
        <w:t xml:space="preserve">har hatt en utvikling som er mye svakere enn hva som kan forklares av strukturelle forhold, og framstår dermed som å være lite attraktiv for basisnæringer i alle periodene </w:t>
      </w:r>
      <w:r w:rsidR="00D900FD">
        <w:t xml:space="preserve">inntil den siste perioden. I den siste perioden har </w:t>
      </w:r>
      <w:proofErr w:type="spellStart"/>
      <w:r w:rsidR="00D900FD">
        <w:t>Glåmdal</w:t>
      </w:r>
      <w:proofErr w:type="spellEnd"/>
      <w:r w:rsidR="00D900FD">
        <w:t xml:space="preserve"> faktisk blitt lit</w:t>
      </w:r>
      <w:r w:rsidR="00F772D6">
        <w:t>t</w:t>
      </w:r>
      <w:r w:rsidR="00D900FD">
        <w:t xml:space="preserve"> attraktiv for basisnæringene.</w:t>
      </w:r>
    </w:p>
    <w:p w:rsidR="009F6927" w:rsidRDefault="009F6927" w:rsidP="009F6927">
      <w:r>
        <w:t xml:space="preserve">I figur 28 ser vi hvordan den bransjejusterte vekstimpulsen i den siste perioden, som er indikator for attraktivitet i basisnæringene, varierer mellom kommunene i </w:t>
      </w:r>
      <w:r w:rsidR="00D900FD">
        <w:t>Hedmark</w:t>
      </w:r>
      <w:r>
        <w:t xml:space="preserve">. </w:t>
      </w:r>
      <w:r w:rsidR="00D900FD">
        <w:t>Nord-Odal har høyest attraktivitet for basisnæringer av alle kommunene i Hedmark. Åsnes, Våler og Eidskog har også vært attraktive for basisnæringene i den siste treårsperioden. Sør-Odal og Kongsvinger har vært litt under middels, mens Grue har de svakeste resultatene.</w:t>
      </w:r>
    </w:p>
    <w:p w:rsidR="009F6927" w:rsidRPr="009F6927" w:rsidRDefault="009F6927" w:rsidP="009F6927"/>
    <w:p w:rsidR="009412AC" w:rsidRDefault="00A73733" w:rsidP="00561FAE">
      <w:r w:rsidRPr="00E6683B">
        <w:rPr>
          <w:strike/>
        </w:rPr>
        <w:br w:type="column"/>
      </w:r>
      <w:r w:rsidR="00362343">
        <w:rPr>
          <w:noProof/>
          <w:lang w:eastAsia="nb-NO"/>
        </w:rPr>
        <w:lastRenderedPageBreak/>
        <w:drawing>
          <wp:inline distT="0" distB="0" distL="0" distR="0">
            <wp:extent cx="2869565" cy="2414905"/>
            <wp:effectExtent l="0" t="0" r="6985" b="4445"/>
            <wp:docPr id="74" name="Diagram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412AC" w:rsidRPr="00134CF9" w:rsidRDefault="00452B9B" w:rsidP="00134CF9">
      <w:pPr>
        <w:pStyle w:val="Bildetekst"/>
      </w:pPr>
      <w:r w:rsidRPr="00134CF9">
        <w:t xml:space="preserve">Figur </w:t>
      </w:r>
      <w:r w:rsidR="004B3D9E" w:rsidRPr="00134CF9">
        <w:fldChar w:fldCharType="begin"/>
      </w:r>
      <w:r w:rsidRPr="00134CF9">
        <w:instrText xml:space="preserve"> SEQ Figur \* ARABIC </w:instrText>
      </w:r>
      <w:r w:rsidR="004B3D9E" w:rsidRPr="00134CF9">
        <w:fldChar w:fldCharType="separate"/>
      </w:r>
      <w:r w:rsidR="00CD5BFF">
        <w:rPr>
          <w:noProof/>
        </w:rPr>
        <w:t>28</w:t>
      </w:r>
      <w:r w:rsidR="004B3D9E" w:rsidRPr="00134CF9">
        <w:fldChar w:fldCharType="end"/>
      </w:r>
      <w:r w:rsidRPr="00134CF9">
        <w:t xml:space="preserve">: </w:t>
      </w:r>
      <w:r w:rsidR="009F6927">
        <w:t xml:space="preserve">Årlige vekstimpulser fra basisnæringene i </w:t>
      </w:r>
      <w:proofErr w:type="spellStart"/>
      <w:r w:rsidR="00362343">
        <w:t>Glåmdal</w:t>
      </w:r>
      <w:proofErr w:type="spellEnd"/>
      <w:r w:rsidR="009F6927">
        <w:t xml:space="preserve"> </w:t>
      </w:r>
      <w:r w:rsidR="00E725B6" w:rsidRPr="00134CF9">
        <w:t xml:space="preserve">Tre års glidende gjennomsnitt. </w:t>
      </w:r>
      <w:r w:rsidR="009F6927" w:rsidRPr="00134CF9">
        <w:t>Den røde linjen viser vekstimpulsene i basisnæringene. Stolpene viser hvordan veksten er dekomponert i nasjonalt bidrag, bransjeeffekt og bransjejustert vekst.</w:t>
      </w:r>
    </w:p>
    <w:p w:rsidR="009412AC" w:rsidRDefault="00362343" w:rsidP="00561FAE">
      <w:r>
        <w:rPr>
          <w:noProof/>
          <w:lang w:eastAsia="nb-NO"/>
        </w:rPr>
        <w:drawing>
          <wp:inline distT="0" distB="0" distL="0" distR="0">
            <wp:extent cx="2869565" cy="4320540"/>
            <wp:effectExtent l="0" t="0" r="6985" b="3810"/>
            <wp:docPr id="75" name="Diagram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26761" w:rsidRDefault="007A1CDA" w:rsidP="00032690">
      <w:pPr>
        <w:pStyle w:val="Bildetekst"/>
        <w:sectPr w:rsidR="00226761" w:rsidSect="00687F25">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29</w:t>
      </w:r>
      <w:r w:rsidR="004B3D9E">
        <w:fldChar w:fldCharType="end"/>
      </w:r>
      <w:r>
        <w:t xml:space="preserve">: Vekstimpulser i basisnæringene </w:t>
      </w:r>
      <w:r w:rsidR="00CB3578">
        <w:t xml:space="preserve">i kommunene i </w:t>
      </w:r>
      <w:r w:rsidR="00362343">
        <w:t>Hedmark</w:t>
      </w:r>
      <w:r w:rsidR="00CB3578">
        <w:t xml:space="preserve"> fra 20</w:t>
      </w:r>
      <w:r w:rsidR="00D900FD">
        <w:t>11</w:t>
      </w:r>
      <w:r>
        <w:t xml:space="preserve"> til 2013, dekomponert i nasjonalt bidrag, bransjeeffekt og bransjejustert vekst. </w:t>
      </w:r>
      <w:r w:rsidR="00226761">
        <w:br w:type="page"/>
      </w:r>
    </w:p>
    <w:p w:rsidR="00D66DA8" w:rsidRDefault="00D354BC" w:rsidP="00914EB9">
      <w:pPr>
        <w:pStyle w:val="Overskrift2"/>
      </w:pPr>
      <w:bookmarkStart w:id="35" w:name="_Toc400090061"/>
      <w:r>
        <w:lastRenderedPageBreak/>
        <w:t>Besøksnæringer</w:t>
      </w:r>
      <w:bookmarkEnd w:id="35"/>
    </w:p>
    <w:p w:rsidR="00B67D41" w:rsidRDefault="0089220D" w:rsidP="0089220D">
      <w:pPr>
        <w:pStyle w:val="Ingress"/>
        <w:ind w:left="0" w:right="-34"/>
      </w:pPr>
      <w:r>
        <w:t>I</w:t>
      </w:r>
      <w:r w:rsidR="00B67D41">
        <w:t xml:space="preserve"> kapittel </w:t>
      </w:r>
      <w:r>
        <w:t>2</w:t>
      </w:r>
      <w:r w:rsidR="00B67D41">
        <w:t>.4 om vekst i næringst</w:t>
      </w:r>
      <w:r>
        <w:t>ypene og offentlig sektor</w:t>
      </w:r>
      <w:r w:rsidR="00B67D41">
        <w:t xml:space="preserve">, </w:t>
      </w:r>
      <w:r>
        <w:t xml:space="preserve">kom det fram at </w:t>
      </w:r>
      <w:proofErr w:type="spellStart"/>
      <w:r w:rsidR="00D900FD">
        <w:t>Glåmdal</w:t>
      </w:r>
      <w:proofErr w:type="spellEnd"/>
      <w:r w:rsidR="00D900FD">
        <w:t xml:space="preserve"> </w:t>
      </w:r>
      <w:r>
        <w:t>har hatt en vekst i antall arbei</w:t>
      </w:r>
      <w:r w:rsidR="00333205">
        <w:t>dsplasser i besøksnæringene på 0</w:t>
      </w:r>
      <w:r>
        <w:t>,2 prosent fra 2000 til 2013. Veksten i besøksnæringene på landsbasis har vært på 13,8 prosent. I dette kapitlet skal vi gå i mer detalj om utviklingen i besøksnæringene i regionen.</w:t>
      </w:r>
    </w:p>
    <w:p w:rsidR="0089220D" w:rsidRDefault="0089220D" w:rsidP="0089220D">
      <w:r>
        <w:t xml:space="preserve">I tabellen under presenterer vi hovedtallene for besøksnæringene i </w:t>
      </w:r>
      <w:proofErr w:type="spellStart"/>
      <w:r w:rsidR="00D900FD">
        <w:t>Glåmdal</w:t>
      </w:r>
      <w:proofErr w:type="spellEnd"/>
      <w:r w:rsidR="00D900FD">
        <w:t>.</w:t>
      </w:r>
    </w:p>
    <w:p w:rsidR="00914EB9" w:rsidRDefault="000662C5" w:rsidP="000662C5">
      <w:pPr>
        <w:pStyle w:val="Bildetekst"/>
      </w:pPr>
      <w:r>
        <w:t xml:space="preserve">Tabell </w:t>
      </w:r>
      <w:r w:rsidR="004B3D9E">
        <w:fldChar w:fldCharType="begin"/>
      </w:r>
      <w:r>
        <w:instrText xml:space="preserve"> SEQ Tabell \* ARABIC </w:instrText>
      </w:r>
      <w:r w:rsidR="004B3D9E">
        <w:fldChar w:fldCharType="separate"/>
      </w:r>
      <w:r w:rsidR="00CD5BFF">
        <w:rPr>
          <w:noProof/>
        </w:rPr>
        <w:t>3</w:t>
      </w:r>
      <w:r w:rsidR="004B3D9E">
        <w:fldChar w:fldCharType="end"/>
      </w:r>
      <w:r>
        <w:t>:</w:t>
      </w:r>
      <w:r w:rsidR="00A06103">
        <w:t xml:space="preserve"> Antall arbeidsplasser i besøksnæringene i 200</w:t>
      </w:r>
      <w:r w:rsidR="0089220D">
        <w:t>0</w:t>
      </w:r>
      <w:r w:rsidR="00A06103">
        <w:t xml:space="preserve"> og 2013, absolutt og prosentvis endring, vekstimpuls og vekstimpuls på landsbasis i samme periode. </w:t>
      </w:r>
      <w:r>
        <w:t xml:space="preserve"> </w:t>
      </w:r>
    </w:p>
    <w:tbl>
      <w:tblPr>
        <w:tblW w:w="9416" w:type="dxa"/>
        <w:tblCellMar>
          <w:left w:w="70" w:type="dxa"/>
          <w:right w:w="70" w:type="dxa"/>
        </w:tblCellMar>
        <w:tblLook w:val="04A0"/>
      </w:tblPr>
      <w:tblGrid>
        <w:gridCol w:w="941"/>
        <w:gridCol w:w="1960"/>
        <w:gridCol w:w="600"/>
        <w:gridCol w:w="691"/>
        <w:gridCol w:w="1053"/>
        <w:gridCol w:w="1131"/>
        <w:gridCol w:w="1300"/>
        <w:gridCol w:w="1740"/>
      </w:tblGrid>
      <w:tr w:rsidR="00333205" w:rsidRPr="00333205" w:rsidTr="00333205">
        <w:trPr>
          <w:trHeight w:val="255"/>
        </w:trPr>
        <w:tc>
          <w:tcPr>
            <w:tcW w:w="941" w:type="dxa"/>
            <w:tcBorders>
              <w:top w:val="single" w:sz="4" w:space="0" w:color="auto"/>
              <w:left w:val="single" w:sz="4" w:space="0" w:color="auto"/>
              <w:bottom w:val="nil"/>
              <w:right w:val="nil"/>
            </w:tcBorders>
            <w:shd w:val="clear" w:color="4F81BD" w:fill="4F81BD"/>
            <w:noWrap/>
            <w:vAlign w:val="bottom"/>
            <w:hideMark/>
          </w:tcPr>
          <w:p w:rsidR="00333205" w:rsidRPr="00333205" w:rsidRDefault="00333205" w:rsidP="00333205">
            <w:pPr>
              <w:spacing w:after="0" w:line="240" w:lineRule="auto"/>
              <w:rPr>
                <w:rFonts w:ascii="Arial" w:eastAsia="Times New Roman" w:hAnsi="Arial" w:cs="Arial"/>
                <w:b/>
                <w:bCs/>
                <w:color w:val="FFFFFF"/>
                <w:szCs w:val="20"/>
                <w:lang w:eastAsia="nb-NO"/>
              </w:rPr>
            </w:pPr>
            <w:r w:rsidRPr="00333205">
              <w:rPr>
                <w:rFonts w:ascii="Arial" w:eastAsia="Times New Roman" w:hAnsi="Arial" w:cs="Arial"/>
                <w:b/>
                <w:bCs/>
                <w:color w:val="FFFFFF"/>
                <w:szCs w:val="20"/>
                <w:lang w:eastAsia="nb-NO"/>
              </w:rPr>
              <w:t>Næring</w:t>
            </w:r>
          </w:p>
        </w:tc>
        <w:tc>
          <w:tcPr>
            <w:tcW w:w="1960" w:type="dxa"/>
            <w:tcBorders>
              <w:top w:val="single" w:sz="4" w:space="0" w:color="auto"/>
              <w:left w:val="nil"/>
              <w:bottom w:val="nil"/>
              <w:right w:val="nil"/>
            </w:tcBorders>
            <w:shd w:val="clear" w:color="4F81BD" w:fill="4F81BD"/>
            <w:noWrap/>
            <w:vAlign w:val="bottom"/>
            <w:hideMark/>
          </w:tcPr>
          <w:p w:rsidR="00333205" w:rsidRPr="00333205" w:rsidRDefault="00333205" w:rsidP="00333205">
            <w:pPr>
              <w:spacing w:after="0" w:line="240" w:lineRule="auto"/>
              <w:rPr>
                <w:rFonts w:ascii="Arial" w:eastAsia="Times New Roman" w:hAnsi="Arial" w:cs="Arial"/>
                <w:b/>
                <w:bCs/>
                <w:color w:val="FFFFFF"/>
                <w:szCs w:val="20"/>
                <w:lang w:eastAsia="nb-NO"/>
              </w:rPr>
            </w:pPr>
            <w:r w:rsidRPr="00333205">
              <w:rPr>
                <w:rFonts w:ascii="Arial" w:eastAsia="Times New Roman" w:hAnsi="Arial" w:cs="Arial"/>
                <w:b/>
                <w:bCs/>
                <w:color w:val="FFFFFF"/>
                <w:szCs w:val="20"/>
                <w:lang w:eastAsia="nb-NO"/>
              </w:rPr>
              <w:t>Bransje</w:t>
            </w:r>
          </w:p>
        </w:tc>
        <w:tc>
          <w:tcPr>
            <w:tcW w:w="600" w:type="dxa"/>
            <w:tcBorders>
              <w:top w:val="single" w:sz="4" w:space="0" w:color="auto"/>
              <w:left w:val="single" w:sz="4" w:space="0" w:color="A6A6A6"/>
              <w:bottom w:val="single" w:sz="4" w:space="0" w:color="A6A6A6"/>
              <w:right w:val="single" w:sz="4" w:space="0" w:color="A6A6A6"/>
            </w:tcBorders>
            <w:shd w:val="clear" w:color="000000" w:fill="4F81BD"/>
            <w:noWrap/>
            <w:vAlign w:val="center"/>
            <w:hideMark/>
          </w:tcPr>
          <w:p w:rsidR="00333205" w:rsidRPr="00333205" w:rsidRDefault="00333205" w:rsidP="00333205">
            <w:pPr>
              <w:spacing w:after="0" w:line="240" w:lineRule="auto"/>
              <w:jc w:val="center"/>
              <w:rPr>
                <w:rFonts w:ascii="Arial" w:eastAsia="Times New Roman" w:hAnsi="Arial" w:cs="Arial"/>
                <w:b/>
                <w:bCs/>
                <w:color w:val="FFFFFF"/>
                <w:sz w:val="18"/>
                <w:szCs w:val="18"/>
                <w:lang w:eastAsia="nb-NO"/>
              </w:rPr>
            </w:pPr>
            <w:r w:rsidRPr="00333205">
              <w:rPr>
                <w:rFonts w:ascii="Arial" w:eastAsia="Times New Roman" w:hAnsi="Arial" w:cs="Arial"/>
                <w:b/>
                <w:bCs/>
                <w:color w:val="FFFFFF"/>
                <w:sz w:val="18"/>
                <w:szCs w:val="18"/>
                <w:lang w:eastAsia="nb-NO"/>
              </w:rPr>
              <w:t>2000</w:t>
            </w:r>
          </w:p>
        </w:tc>
        <w:tc>
          <w:tcPr>
            <w:tcW w:w="691" w:type="dxa"/>
            <w:tcBorders>
              <w:top w:val="single" w:sz="4" w:space="0" w:color="auto"/>
              <w:left w:val="nil"/>
              <w:bottom w:val="single" w:sz="4" w:space="0" w:color="A6A6A6"/>
              <w:right w:val="single" w:sz="4" w:space="0" w:color="A6A6A6"/>
            </w:tcBorders>
            <w:shd w:val="clear" w:color="000000" w:fill="4F81BD"/>
            <w:noWrap/>
            <w:vAlign w:val="center"/>
            <w:hideMark/>
          </w:tcPr>
          <w:p w:rsidR="00333205" w:rsidRPr="00333205" w:rsidRDefault="00333205" w:rsidP="00333205">
            <w:pPr>
              <w:spacing w:after="0" w:line="240" w:lineRule="auto"/>
              <w:jc w:val="center"/>
              <w:rPr>
                <w:rFonts w:ascii="Arial" w:eastAsia="Times New Roman" w:hAnsi="Arial" w:cs="Arial"/>
                <w:b/>
                <w:bCs/>
                <w:color w:val="FFFFFF"/>
                <w:sz w:val="18"/>
                <w:szCs w:val="18"/>
                <w:lang w:eastAsia="nb-NO"/>
              </w:rPr>
            </w:pPr>
            <w:r w:rsidRPr="00333205">
              <w:rPr>
                <w:rFonts w:ascii="Arial" w:eastAsia="Times New Roman" w:hAnsi="Arial" w:cs="Arial"/>
                <w:b/>
                <w:bCs/>
                <w:color w:val="FFFFFF"/>
                <w:sz w:val="18"/>
                <w:szCs w:val="18"/>
                <w:lang w:eastAsia="nb-NO"/>
              </w:rPr>
              <w:t>2013</w:t>
            </w:r>
          </w:p>
        </w:tc>
        <w:tc>
          <w:tcPr>
            <w:tcW w:w="1053" w:type="dxa"/>
            <w:tcBorders>
              <w:top w:val="single" w:sz="4" w:space="0" w:color="auto"/>
              <w:left w:val="nil"/>
              <w:bottom w:val="single" w:sz="4" w:space="0" w:color="A6A6A6"/>
              <w:right w:val="single" w:sz="4" w:space="0" w:color="A6A6A6"/>
            </w:tcBorders>
            <w:shd w:val="clear" w:color="000000" w:fill="4F81BD"/>
            <w:noWrap/>
            <w:vAlign w:val="center"/>
            <w:hideMark/>
          </w:tcPr>
          <w:p w:rsidR="00333205" w:rsidRPr="00333205" w:rsidRDefault="00333205" w:rsidP="00333205">
            <w:pPr>
              <w:spacing w:after="0" w:line="240" w:lineRule="auto"/>
              <w:jc w:val="center"/>
              <w:rPr>
                <w:rFonts w:ascii="Arial" w:eastAsia="Times New Roman" w:hAnsi="Arial" w:cs="Arial"/>
                <w:b/>
                <w:bCs/>
                <w:color w:val="FFFFFF"/>
                <w:sz w:val="18"/>
                <w:szCs w:val="18"/>
                <w:lang w:eastAsia="nb-NO"/>
              </w:rPr>
            </w:pPr>
            <w:r w:rsidRPr="00333205">
              <w:rPr>
                <w:rFonts w:ascii="Arial" w:eastAsia="Times New Roman" w:hAnsi="Arial" w:cs="Arial"/>
                <w:b/>
                <w:bCs/>
                <w:color w:val="FFFFFF"/>
                <w:sz w:val="18"/>
                <w:szCs w:val="18"/>
                <w:lang w:eastAsia="nb-NO"/>
              </w:rPr>
              <w:t>Endring antall</w:t>
            </w:r>
          </w:p>
        </w:tc>
        <w:tc>
          <w:tcPr>
            <w:tcW w:w="1131" w:type="dxa"/>
            <w:tcBorders>
              <w:top w:val="single" w:sz="4" w:space="0" w:color="auto"/>
              <w:left w:val="nil"/>
              <w:bottom w:val="single" w:sz="4" w:space="0" w:color="A6A6A6"/>
              <w:right w:val="single" w:sz="4" w:space="0" w:color="A6A6A6"/>
            </w:tcBorders>
            <w:shd w:val="clear" w:color="000000" w:fill="4F81BD"/>
            <w:noWrap/>
            <w:vAlign w:val="center"/>
            <w:hideMark/>
          </w:tcPr>
          <w:p w:rsidR="00333205" w:rsidRPr="00333205" w:rsidRDefault="00333205" w:rsidP="00333205">
            <w:pPr>
              <w:spacing w:after="0" w:line="240" w:lineRule="auto"/>
              <w:jc w:val="center"/>
              <w:rPr>
                <w:rFonts w:ascii="Arial" w:eastAsia="Times New Roman" w:hAnsi="Arial" w:cs="Arial"/>
                <w:b/>
                <w:bCs/>
                <w:color w:val="FFFFFF"/>
                <w:sz w:val="18"/>
                <w:szCs w:val="18"/>
                <w:lang w:eastAsia="nb-NO"/>
              </w:rPr>
            </w:pPr>
            <w:r w:rsidRPr="00333205">
              <w:rPr>
                <w:rFonts w:ascii="Arial" w:eastAsia="Times New Roman" w:hAnsi="Arial" w:cs="Arial"/>
                <w:b/>
                <w:bCs/>
                <w:color w:val="FFFFFF"/>
                <w:sz w:val="18"/>
                <w:szCs w:val="18"/>
                <w:lang w:eastAsia="nb-NO"/>
              </w:rPr>
              <w:t>Endring %</w:t>
            </w:r>
          </w:p>
        </w:tc>
        <w:tc>
          <w:tcPr>
            <w:tcW w:w="1300" w:type="dxa"/>
            <w:tcBorders>
              <w:top w:val="single" w:sz="4" w:space="0" w:color="auto"/>
              <w:left w:val="nil"/>
              <w:bottom w:val="single" w:sz="4" w:space="0" w:color="A6A6A6"/>
              <w:right w:val="single" w:sz="4" w:space="0" w:color="A6A6A6"/>
            </w:tcBorders>
            <w:shd w:val="clear" w:color="000000" w:fill="4F81BD"/>
            <w:noWrap/>
            <w:vAlign w:val="center"/>
            <w:hideMark/>
          </w:tcPr>
          <w:p w:rsidR="00333205" w:rsidRPr="00333205" w:rsidRDefault="00333205" w:rsidP="00333205">
            <w:pPr>
              <w:spacing w:after="0" w:line="240" w:lineRule="auto"/>
              <w:jc w:val="center"/>
              <w:rPr>
                <w:rFonts w:ascii="Arial" w:eastAsia="Times New Roman" w:hAnsi="Arial" w:cs="Arial"/>
                <w:b/>
                <w:bCs/>
                <w:color w:val="FFFFFF"/>
                <w:sz w:val="18"/>
                <w:szCs w:val="18"/>
                <w:lang w:eastAsia="nb-NO"/>
              </w:rPr>
            </w:pPr>
            <w:r w:rsidRPr="00333205">
              <w:rPr>
                <w:rFonts w:ascii="Arial" w:eastAsia="Times New Roman" w:hAnsi="Arial" w:cs="Arial"/>
                <w:b/>
                <w:bCs/>
                <w:color w:val="FFFFFF"/>
                <w:sz w:val="18"/>
                <w:szCs w:val="18"/>
                <w:lang w:eastAsia="nb-NO"/>
              </w:rPr>
              <w:t>Vekstimpuls</w:t>
            </w:r>
          </w:p>
        </w:tc>
        <w:tc>
          <w:tcPr>
            <w:tcW w:w="1740" w:type="dxa"/>
            <w:tcBorders>
              <w:top w:val="single" w:sz="4" w:space="0" w:color="auto"/>
              <w:left w:val="nil"/>
              <w:bottom w:val="single" w:sz="4" w:space="0" w:color="A6A6A6"/>
              <w:right w:val="single" w:sz="4" w:space="0" w:color="auto"/>
            </w:tcBorders>
            <w:shd w:val="clear" w:color="000000" w:fill="4F81BD"/>
            <w:noWrap/>
            <w:vAlign w:val="center"/>
            <w:hideMark/>
          </w:tcPr>
          <w:p w:rsidR="00333205" w:rsidRPr="00333205" w:rsidRDefault="00333205" w:rsidP="00333205">
            <w:pPr>
              <w:spacing w:after="0" w:line="240" w:lineRule="auto"/>
              <w:jc w:val="center"/>
              <w:rPr>
                <w:rFonts w:ascii="Arial" w:eastAsia="Times New Roman" w:hAnsi="Arial" w:cs="Arial"/>
                <w:b/>
                <w:bCs/>
                <w:color w:val="FFFFFF"/>
                <w:sz w:val="18"/>
                <w:szCs w:val="18"/>
                <w:lang w:eastAsia="nb-NO"/>
              </w:rPr>
            </w:pPr>
            <w:r w:rsidRPr="00333205">
              <w:rPr>
                <w:rFonts w:ascii="Arial" w:eastAsia="Times New Roman" w:hAnsi="Arial" w:cs="Arial"/>
                <w:b/>
                <w:bCs/>
                <w:color w:val="FFFFFF"/>
                <w:sz w:val="18"/>
                <w:szCs w:val="18"/>
                <w:lang w:eastAsia="nb-NO"/>
              </w:rPr>
              <w:t>Vekstimpuls Norge</w:t>
            </w:r>
          </w:p>
        </w:tc>
      </w:tr>
      <w:tr w:rsidR="00333205" w:rsidRPr="00333205" w:rsidTr="00333205">
        <w:trPr>
          <w:trHeight w:val="255"/>
        </w:trPr>
        <w:tc>
          <w:tcPr>
            <w:tcW w:w="941" w:type="dxa"/>
            <w:tcBorders>
              <w:top w:val="single" w:sz="4" w:space="0" w:color="A6A6A6"/>
              <w:left w:val="single" w:sz="4" w:space="0" w:color="auto"/>
              <w:bottom w:val="single" w:sz="4" w:space="0" w:color="A6A6A6"/>
              <w:right w:val="single" w:sz="4" w:space="0" w:color="A6A6A6"/>
            </w:tcBorders>
            <w:shd w:val="clear" w:color="000000" w:fill="D8E4BC"/>
            <w:noWrap/>
            <w:vAlign w:val="bottom"/>
            <w:hideMark/>
          </w:tcPr>
          <w:p w:rsidR="00333205" w:rsidRPr="00333205" w:rsidRDefault="00333205" w:rsidP="00333205">
            <w:pPr>
              <w:spacing w:after="0" w:line="240" w:lineRule="auto"/>
              <w:rPr>
                <w:rFonts w:ascii="Arial" w:eastAsia="Times New Roman" w:hAnsi="Arial" w:cs="Arial"/>
                <w:b/>
                <w:bCs/>
                <w:color w:val="000000"/>
                <w:sz w:val="18"/>
                <w:szCs w:val="18"/>
                <w:lang w:eastAsia="nb-NO"/>
              </w:rPr>
            </w:pPr>
            <w:r w:rsidRPr="00333205">
              <w:rPr>
                <w:rFonts w:ascii="Arial" w:eastAsia="Times New Roman" w:hAnsi="Arial" w:cs="Arial"/>
                <w:b/>
                <w:bCs/>
                <w:color w:val="000000"/>
                <w:sz w:val="18"/>
                <w:szCs w:val="18"/>
                <w:lang w:eastAsia="nb-NO"/>
              </w:rPr>
              <w:t>Besøk</w:t>
            </w:r>
          </w:p>
        </w:tc>
        <w:tc>
          <w:tcPr>
            <w:tcW w:w="1960" w:type="dxa"/>
            <w:tcBorders>
              <w:top w:val="single" w:sz="4" w:space="0" w:color="A6A6A6"/>
              <w:left w:val="nil"/>
              <w:bottom w:val="single" w:sz="4" w:space="0" w:color="A6A6A6"/>
              <w:right w:val="single" w:sz="4" w:space="0" w:color="A6A6A6"/>
            </w:tcBorders>
            <w:shd w:val="clear" w:color="000000" w:fill="D8E4BC"/>
            <w:noWrap/>
            <w:vAlign w:val="bottom"/>
            <w:hideMark/>
          </w:tcPr>
          <w:p w:rsidR="00333205" w:rsidRPr="00333205" w:rsidRDefault="00333205" w:rsidP="00333205">
            <w:pPr>
              <w:spacing w:after="0" w:line="240" w:lineRule="auto"/>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Aktivitet</w:t>
            </w:r>
          </w:p>
        </w:tc>
        <w:tc>
          <w:tcPr>
            <w:tcW w:w="600"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330</w:t>
            </w:r>
          </w:p>
        </w:tc>
        <w:tc>
          <w:tcPr>
            <w:tcW w:w="691"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379</w:t>
            </w:r>
          </w:p>
        </w:tc>
        <w:tc>
          <w:tcPr>
            <w:tcW w:w="1053"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49</w:t>
            </w:r>
          </w:p>
        </w:tc>
        <w:tc>
          <w:tcPr>
            <w:tcW w:w="1131"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14,8</w:t>
            </w:r>
          </w:p>
        </w:tc>
        <w:tc>
          <w:tcPr>
            <w:tcW w:w="1300" w:type="dxa"/>
            <w:tcBorders>
              <w:top w:val="single" w:sz="4" w:space="0" w:color="A6A6A6"/>
              <w:left w:val="single" w:sz="4" w:space="0" w:color="A6A6A6"/>
              <w:bottom w:val="single" w:sz="4" w:space="0" w:color="A6A6A6"/>
              <w:right w:val="single" w:sz="4" w:space="0" w:color="A6A6A6"/>
            </w:tcBorders>
            <w:shd w:val="clear" w:color="000000" w:fill="FAFBFF"/>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0,2</w:t>
            </w:r>
          </w:p>
        </w:tc>
        <w:tc>
          <w:tcPr>
            <w:tcW w:w="1740" w:type="dxa"/>
            <w:tcBorders>
              <w:top w:val="single" w:sz="4" w:space="0" w:color="A6A6A6"/>
              <w:left w:val="single" w:sz="4" w:space="0" w:color="A6A6A6"/>
              <w:bottom w:val="single" w:sz="4" w:space="0" w:color="A6A6A6"/>
              <w:right w:val="single" w:sz="4" w:space="0" w:color="auto"/>
            </w:tcBorders>
            <w:shd w:val="clear" w:color="000000" w:fill="DCE6F4"/>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0,5</w:t>
            </w:r>
          </w:p>
        </w:tc>
      </w:tr>
      <w:tr w:rsidR="00333205" w:rsidRPr="00333205" w:rsidTr="00333205">
        <w:trPr>
          <w:trHeight w:val="255"/>
        </w:trPr>
        <w:tc>
          <w:tcPr>
            <w:tcW w:w="941" w:type="dxa"/>
            <w:tcBorders>
              <w:top w:val="single" w:sz="4" w:space="0" w:color="A6A6A6"/>
              <w:left w:val="single" w:sz="4" w:space="0" w:color="auto"/>
              <w:bottom w:val="single" w:sz="4" w:space="0" w:color="A6A6A6"/>
              <w:right w:val="single" w:sz="4" w:space="0" w:color="A6A6A6"/>
            </w:tcBorders>
            <w:shd w:val="clear" w:color="000000" w:fill="D8E4BC"/>
            <w:noWrap/>
            <w:vAlign w:val="bottom"/>
            <w:hideMark/>
          </w:tcPr>
          <w:p w:rsidR="00333205" w:rsidRPr="00333205" w:rsidRDefault="00333205" w:rsidP="00333205">
            <w:pPr>
              <w:spacing w:after="0" w:line="240" w:lineRule="auto"/>
              <w:rPr>
                <w:rFonts w:ascii="Arial" w:eastAsia="Times New Roman" w:hAnsi="Arial" w:cs="Arial"/>
                <w:b/>
                <w:bCs/>
                <w:color w:val="000000"/>
                <w:sz w:val="18"/>
                <w:szCs w:val="18"/>
                <w:lang w:eastAsia="nb-NO"/>
              </w:rPr>
            </w:pPr>
            <w:r w:rsidRPr="00333205">
              <w:rPr>
                <w:rFonts w:ascii="Arial" w:eastAsia="Times New Roman" w:hAnsi="Arial" w:cs="Arial"/>
                <w:b/>
                <w:bCs/>
                <w:color w:val="000000"/>
                <w:sz w:val="18"/>
                <w:szCs w:val="18"/>
                <w:lang w:eastAsia="nb-NO"/>
              </w:rPr>
              <w:t> </w:t>
            </w:r>
          </w:p>
        </w:tc>
        <w:tc>
          <w:tcPr>
            <w:tcW w:w="1960" w:type="dxa"/>
            <w:tcBorders>
              <w:top w:val="nil"/>
              <w:left w:val="nil"/>
              <w:bottom w:val="single" w:sz="4" w:space="0" w:color="A6A6A6"/>
              <w:right w:val="single" w:sz="4" w:space="0" w:color="A6A6A6"/>
            </w:tcBorders>
            <w:shd w:val="clear" w:color="000000" w:fill="D8E4BC"/>
            <w:noWrap/>
            <w:vAlign w:val="bottom"/>
            <w:hideMark/>
          </w:tcPr>
          <w:p w:rsidR="00333205" w:rsidRPr="00333205" w:rsidRDefault="00333205" w:rsidP="00333205">
            <w:pPr>
              <w:spacing w:after="0" w:line="240" w:lineRule="auto"/>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Handel</w:t>
            </w:r>
          </w:p>
        </w:tc>
        <w:tc>
          <w:tcPr>
            <w:tcW w:w="600"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2 175</w:t>
            </w:r>
          </w:p>
        </w:tc>
        <w:tc>
          <w:tcPr>
            <w:tcW w:w="691"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2 151</w:t>
            </w:r>
          </w:p>
        </w:tc>
        <w:tc>
          <w:tcPr>
            <w:tcW w:w="1053"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-24</w:t>
            </w:r>
          </w:p>
        </w:tc>
        <w:tc>
          <w:tcPr>
            <w:tcW w:w="1131"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-1,1</w:t>
            </w:r>
          </w:p>
        </w:tc>
        <w:tc>
          <w:tcPr>
            <w:tcW w:w="1300" w:type="dxa"/>
            <w:tcBorders>
              <w:top w:val="single" w:sz="4" w:space="0" w:color="A6A6A6"/>
              <w:left w:val="single" w:sz="4" w:space="0" w:color="A6A6A6"/>
              <w:bottom w:val="single" w:sz="4" w:space="0" w:color="A6A6A6"/>
              <w:right w:val="single" w:sz="4" w:space="0" w:color="A6A6A6"/>
            </w:tcBorders>
            <w:shd w:val="clear" w:color="000000" w:fill="F9989A"/>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-0,1</w:t>
            </w:r>
          </w:p>
        </w:tc>
        <w:tc>
          <w:tcPr>
            <w:tcW w:w="1740" w:type="dxa"/>
            <w:tcBorders>
              <w:top w:val="single" w:sz="4" w:space="0" w:color="A6A6A6"/>
              <w:left w:val="single" w:sz="4" w:space="0" w:color="A6A6A6"/>
              <w:bottom w:val="single" w:sz="4" w:space="0" w:color="A6A6A6"/>
              <w:right w:val="single" w:sz="4" w:space="0" w:color="auto"/>
            </w:tcBorders>
            <w:shd w:val="clear" w:color="000000" w:fill="9EBADE"/>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1,2</w:t>
            </w:r>
          </w:p>
        </w:tc>
      </w:tr>
      <w:tr w:rsidR="00333205" w:rsidRPr="00333205" w:rsidTr="00333205">
        <w:trPr>
          <w:trHeight w:val="255"/>
        </w:trPr>
        <w:tc>
          <w:tcPr>
            <w:tcW w:w="941" w:type="dxa"/>
            <w:tcBorders>
              <w:top w:val="single" w:sz="4" w:space="0" w:color="A6A6A6"/>
              <w:left w:val="single" w:sz="4" w:space="0" w:color="auto"/>
              <w:bottom w:val="single" w:sz="4" w:space="0" w:color="A6A6A6"/>
              <w:right w:val="single" w:sz="4" w:space="0" w:color="A6A6A6"/>
            </w:tcBorders>
            <w:shd w:val="clear" w:color="000000" w:fill="D8E4BC"/>
            <w:noWrap/>
            <w:vAlign w:val="bottom"/>
            <w:hideMark/>
          </w:tcPr>
          <w:p w:rsidR="00333205" w:rsidRPr="00333205" w:rsidRDefault="00333205" w:rsidP="00333205">
            <w:pPr>
              <w:spacing w:after="0" w:line="240" w:lineRule="auto"/>
              <w:rPr>
                <w:rFonts w:ascii="Arial" w:eastAsia="Times New Roman" w:hAnsi="Arial" w:cs="Arial"/>
                <w:b/>
                <w:bCs/>
                <w:color w:val="000000"/>
                <w:sz w:val="18"/>
                <w:szCs w:val="18"/>
                <w:lang w:eastAsia="nb-NO"/>
              </w:rPr>
            </w:pPr>
            <w:r w:rsidRPr="00333205">
              <w:rPr>
                <w:rFonts w:ascii="Arial" w:eastAsia="Times New Roman" w:hAnsi="Arial" w:cs="Arial"/>
                <w:b/>
                <w:bCs/>
                <w:color w:val="000000"/>
                <w:sz w:val="18"/>
                <w:szCs w:val="18"/>
                <w:lang w:eastAsia="nb-NO"/>
              </w:rPr>
              <w:t> </w:t>
            </w:r>
          </w:p>
        </w:tc>
        <w:tc>
          <w:tcPr>
            <w:tcW w:w="1960" w:type="dxa"/>
            <w:tcBorders>
              <w:top w:val="nil"/>
              <w:left w:val="nil"/>
              <w:bottom w:val="single" w:sz="4" w:space="0" w:color="A6A6A6"/>
              <w:right w:val="single" w:sz="4" w:space="0" w:color="A6A6A6"/>
            </w:tcBorders>
            <w:shd w:val="clear" w:color="000000" w:fill="D8E4BC"/>
            <w:noWrap/>
            <w:vAlign w:val="bottom"/>
            <w:hideMark/>
          </w:tcPr>
          <w:p w:rsidR="00333205" w:rsidRPr="00333205" w:rsidRDefault="00333205" w:rsidP="00333205">
            <w:pPr>
              <w:spacing w:after="0" w:line="240" w:lineRule="auto"/>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Overnatting</w:t>
            </w:r>
          </w:p>
        </w:tc>
        <w:tc>
          <w:tcPr>
            <w:tcW w:w="600"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108</w:t>
            </w:r>
          </w:p>
        </w:tc>
        <w:tc>
          <w:tcPr>
            <w:tcW w:w="691"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145</w:t>
            </w:r>
          </w:p>
        </w:tc>
        <w:tc>
          <w:tcPr>
            <w:tcW w:w="1053"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37</w:t>
            </w:r>
          </w:p>
        </w:tc>
        <w:tc>
          <w:tcPr>
            <w:tcW w:w="1131"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34,3</w:t>
            </w:r>
          </w:p>
        </w:tc>
        <w:tc>
          <w:tcPr>
            <w:tcW w:w="1300" w:type="dxa"/>
            <w:tcBorders>
              <w:top w:val="single" w:sz="4" w:space="0" w:color="A6A6A6"/>
              <w:left w:val="single" w:sz="4" w:space="0" w:color="A6A6A6"/>
              <w:bottom w:val="single" w:sz="4" w:space="0" w:color="A6A6A6"/>
              <w:right w:val="single" w:sz="4" w:space="0" w:color="A6A6A6"/>
            </w:tcBorders>
            <w:shd w:val="clear" w:color="000000" w:fill="FBF3F6"/>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0,1</w:t>
            </w:r>
          </w:p>
        </w:tc>
        <w:tc>
          <w:tcPr>
            <w:tcW w:w="1740" w:type="dxa"/>
            <w:tcBorders>
              <w:top w:val="single" w:sz="4" w:space="0" w:color="A6A6A6"/>
              <w:left w:val="single" w:sz="4" w:space="0" w:color="A6A6A6"/>
              <w:bottom w:val="single" w:sz="4" w:space="0" w:color="A6A6A6"/>
              <w:right w:val="single" w:sz="4" w:space="0" w:color="auto"/>
            </w:tcBorders>
            <w:shd w:val="clear" w:color="000000" w:fill="F9A8AB"/>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-0,1</w:t>
            </w:r>
          </w:p>
        </w:tc>
      </w:tr>
      <w:tr w:rsidR="00333205" w:rsidRPr="00333205" w:rsidTr="00333205">
        <w:trPr>
          <w:trHeight w:val="255"/>
        </w:trPr>
        <w:tc>
          <w:tcPr>
            <w:tcW w:w="941" w:type="dxa"/>
            <w:tcBorders>
              <w:top w:val="single" w:sz="4" w:space="0" w:color="A6A6A6"/>
              <w:left w:val="single" w:sz="4" w:space="0" w:color="auto"/>
              <w:bottom w:val="single" w:sz="4" w:space="0" w:color="A6A6A6"/>
              <w:right w:val="single" w:sz="4" w:space="0" w:color="A6A6A6"/>
            </w:tcBorders>
            <w:shd w:val="clear" w:color="000000" w:fill="D8E4BC"/>
            <w:noWrap/>
            <w:vAlign w:val="bottom"/>
            <w:hideMark/>
          </w:tcPr>
          <w:p w:rsidR="00333205" w:rsidRPr="00333205" w:rsidRDefault="00333205" w:rsidP="00333205">
            <w:pPr>
              <w:spacing w:after="0" w:line="240" w:lineRule="auto"/>
              <w:rPr>
                <w:rFonts w:ascii="Arial" w:eastAsia="Times New Roman" w:hAnsi="Arial" w:cs="Arial"/>
                <w:b/>
                <w:bCs/>
                <w:color w:val="000000"/>
                <w:sz w:val="18"/>
                <w:szCs w:val="18"/>
                <w:lang w:eastAsia="nb-NO"/>
              </w:rPr>
            </w:pPr>
            <w:r w:rsidRPr="00333205">
              <w:rPr>
                <w:rFonts w:ascii="Arial" w:eastAsia="Times New Roman" w:hAnsi="Arial" w:cs="Arial"/>
                <w:b/>
                <w:bCs/>
                <w:color w:val="000000"/>
                <w:sz w:val="18"/>
                <w:szCs w:val="18"/>
                <w:lang w:eastAsia="nb-NO"/>
              </w:rPr>
              <w:t> </w:t>
            </w:r>
          </w:p>
        </w:tc>
        <w:tc>
          <w:tcPr>
            <w:tcW w:w="1960" w:type="dxa"/>
            <w:tcBorders>
              <w:top w:val="nil"/>
              <w:left w:val="nil"/>
              <w:bottom w:val="single" w:sz="4" w:space="0" w:color="A6A6A6"/>
              <w:right w:val="single" w:sz="4" w:space="0" w:color="A6A6A6"/>
            </w:tcBorders>
            <w:shd w:val="clear" w:color="000000" w:fill="D8E4BC"/>
            <w:noWrap/>
            <w:vAlign w:val="bottom"/>
            <w:hideMark/>
          </w:tcPr>
          <w:p w:rsidR="00333205" w:rsidRPr="00333205" w:rsidRDefault="00333205" w:rsidP="00333205">
            <w:pPr>
              <w:spacing w:after="0" w:line="240" w:lineRule="auto"/>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Servering</w:t>
            </w:r>
          </w:p>
        </w:tc>
        <w:tc>
          <w:tcPr>
            <w:tcW w:w="600"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219</w:t>
            </w:r>
          </w:p>
        </w:tc>
        <w:tc>
          <w:tcPr>
            <w:tcW w:w="691" w:type="dxa"/>
            <w:tcBorders>
              <w:top w:val="nil"/>
              <w:left w:val="nil"/>
              <w:bottom w:val="single" w:sz="4" w:space="0" w:color="A6A6A6"/>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163</w:t>
            </w:r>
          </w:p>
        </w:tc>
        <w:tc>
          <w:tcPr>
            <w:tcW w:w="1053" w:type="dxa"/>
            <w:tcBorders>
              <w:top w:val="nil"/>
              <w:left w:val="nil"/>
              <w:bottom w:val="nil"/>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-56</w:t>
            </w:r>
          </w:p>
        </w:tc>
        <w:tc>
          <w:tcPr>
            <w:tcW w:w="1131" w:type="dxa"/>
            <w:tcBorders>
              <w:top w:val="nil"/>
              <w:left w:val="nil"/>
              <w:bottom w:val="nil"/>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-25,6</w:t>
            </w:r>
          </w:p>
        </w:tc>
        <w:tc>
          <w:tcPr>
            <w:tcW w:w="1300" w:type="dxa"/>
            <w:tcBorders>
              <w:top w:val="single" w:sz="4" w:space="0" w:color="A6A6A6"/>
              <w:left w:val="single" w:sz="4" w:space="0" w:color="A6A6A6"/>
              <w:bottom w:val="nil"/>
              <w:right w:val="single" w:sz="4" w:space="0" w:color="A6A6A6"/>
            </w:tcBorders>
            <w:shd w:val="clear" w:color="000000" w:fill="F8696B"/>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-0,2</w:t>
            </w:r>
          </w:p>
        </w:tc>
        <w:tc>
          <w:tcPr>
            <w:tcW w:w="1740" w:type="dxa"/>
            <w:tcBorders>
              <w:top w:val="single" w:sz="4" w:space="0" w:color="A6A6A6"/>
              <w:left w:val="single" w:sz="4" w:space="0" w:color="A6A6A6"/>
              <w:bottom w:val="nil"/>
              <w:right w:val="single" w:sz="4" w:space="0" w:color="auto"/>
            </w:tcBorders>
            <w:shd w:val="clear" w:color="000000" w:fill="F2F5FC"/>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0,3</w:t>
            </w:r>
          </w:p>
        </w:tc>
      </w:tr>
      <w:tr w:rsidR="00333205" w:rsidRPr="00333205" w:rsidTr="00333205">
        <w:trPr>
          <w:trHeight w:val="255"/>
        </w:trPr>
        <w:tc>
          <w:tcPr>
            <w:tcW w:w="941" w:type="dxa"/>
            <w:tcBorders>
              <w:top w:val="single" w:sz="4" w:space="0" w:color="auto"/>
              <w:left w:val="single" w:sz="4" w:space="0" w:color="auto"/>
              <w:bottom w:val="single" w:sz="4" w:space="0" w:color="auto"/>
              <w:right w:val="single" w:sz="4" w:space="0" w:color="A6A6A6"/>
            </w:tcBorders>
            <w:shd w:val="clear" w:color="auto" w:fill="auto"/>
            <w:noWrap/>
            <w:vAlign w:val="bottom"/>
            <w:hideMark/>
          </w:tcPr>
          <w:p w:rsidR="00333205" w:rsidRPr="00333205" w:rsidRDefault="00333205" w:rsidP="00333205">
            <w:pPr>
              <w:spacing w:after="0" w:line="240" w:lineRule="auto"/>
              <w:rPr>
                <w:rFonts w:ascii="Arial" w:eastAsia="Times New Roman" w:hAnsi="Arial" w:cs="Arial"/>
                <w:b/>
                <w:bCs/>
                <w:color w:val="000000"/>
                <w:sz w:val="18"/>
                <w:szCs w:val="18"/>
                <w:lang w:eastAsia="nb-NO"/>
              </w:rPr>
            </w:pPr>
            <w:r w:rsidRPr="00333205">
              <w:rPr>
                <w:rFonts w:ascii="Arial" w:eastAsia="Times New Roman" w:hAnsi="Arial" w:cs="Arial"/>
                <w:b/>
                <w:bCs/>
                <w:color w:val="000000"/>
                <w:sz w:val="18"/>
                <w:szCs w:val="18"/>
                <w:lang w:eastAsia="nb-NO"/>
              </w:rPr>
              <w:t>Totalsum</w:t>
            </w:r>
          </w:p>
        </w:tc>
        <w:tc>
          <w:tcPr>
            <w:tcW w:w="1960" w:type="dxa"/>
            <w:tcBorders>
              <w:top w:val="single" w:sz="4" w:space="0" w:color="auto"/>
              <w:left w:val="single" w:sz="4" w:space="0" w:color="A6A6A6"/>
              <w:bottom w:val="single" w:sz="4" w:space="0" w:color="auto"/>
              <w:right w:val="single" w:sz="4" w:space="0" w:color="A6A6A6"/>
            </w:tcBorders>
            <w:shd w:val="clear" w:color="auto" w:fill="auto"/>
            <w:noWrap/>
            <w:vAlign w:val="bottom"/>
            <w:hideMark/>
          </w:tcPr>
          <w:p w:rsidR="00333205" w:rsidRPr="00333205" w:rsidRDefault="00333205" w:rsidP="00333205">
            <w:pPr>
              <w:spacing w:after="0" w:line="240" w:lineRule="auto"/>
              <w:rPr>
                <w:rFonts w:ascii="Arial" w:eastAsia="Times New Roman" w:hAnsi="Arial" w:cs="Arial"/>
                <w:b/>
                <w:bCs/>
                <w:color w:val="000000"/>
                <w:sz w:val="18"/>
                <w:szCs w:val="18"/>
                <w:lang w:eastAsia="nb-NO"/>
              </w:rPr>
            </w:pPr>
            <w:r w:rsidRPr="00333205">
              <w:rPr>
                <w:rFonts w:ascii="Arial" w:eastAsia="Times New Roman" w:hAnsi="Arial" w:cs="Arial"/>
                <w:b/>
                <w:bCs/>
                <w:color w:val="000000"/>
                <w:sz w:val="18"/>
                <w:szCs w:val="18"/>
                <w:lang w:eastAsia="nb-NO"/>
              </w:rPr>
              <w:t> </w:t>
            </w:r>
          </w:p>
        </w:tc>
        <w:tc>
          <w:tcPr>
            <w:tcW w:w="600" w:type="dxa"/>
            <w:tcBorders>
              <w:top w:val="single" w:sz="4" w:space="0" w:color="auto"/>
              <w:left w:val="single" w:sz="4" w:space="0" w:color="A6A6A6"/>
              <w:bottom w:val="single" w:sz="4" w:space="0" w:color="auto"/>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b/>
                <w:bCs/>
                <w:color w:val="000000"/>
                <w:sz w:val="18"/>
                <w:szCs w:val="18"/>
                <w:lang w:eastAsia="nb-NO"/>
              </w:rPr>
            </w:pPr>
            <w:r w:rsidRPr="00333205">
              <w:rPr>
                <w:rFonts w:ascii="Arial" w:eastAsia="Times New Roman" w:hAnsi="Arial" w:cs="Arial"/>
                <w:b/>
                <w:bCs/>
                <w:color w:val="000000"/>
                <w:sz w:val="18"/>
                <w:szCs w:val="18"/>
                <w:lang w:eastAsia="nb-NO"/>
              </w:rPr>
              <w:t>2 832</w:t>
            </w:r>
          </w:p>
        </w:tc>
        <w:tc>
          <w:tcPr>
            <w:tcW w:w="691" w:type="dxa"/>
            <w:tcBorders>
              <w:top w:val="single" w:sz="4" w:space="0" w:color="auto"/>
              <w:left w:val="single" w:sz="4" w:space="0" w:color="A6A6A6"/>
              <w:bottom w:val="single" w:sz="4" w:space="0" w:color="auto"/>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b/>
                <w:bCs/>
                <w:color w:val="000000"/>
                <w:sz w:val="18"/>
                <w:szCs w:val="18"/>
                <w:lang w:eastAsia="nb-NO"/>
              </w:rPr>
            </w:pPr>
            <w:r w:rsidRPr="00333205">
              <w:rPr>
                <w:rFonts w:ascii="Arial" w:eastAsia="Times New Roman" w:hAnsi="Arial" w:cs="Arial"/>
                <w:b/>
                <w:bCs/>
                <w:color w:val="000000"/>
                <w:sz w:val="18"/>
                <w:szCs w:val="18"/>
                <w:lang w:eastAsia="nb-NO"/>
              </w:rPr>
              <w:t>2 838</w:t>
            </w:r>
          </w:p>
        </w:tc>
        <w:tc>
          <w:tcPr>
            <w:tcW w:w="1053" w:type="dxa"/>
            <w:tcBorders>
              <w:top w:val="single" w:sz="4" w:space="0" w:color="auto"/>
              <w:left w:val="nil"/>
              <w:bottom w:val="single" w:sz="4" w:space="0" w:color="auto"/>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6</w:t>
            </w:r>
          </w:p>
        </w:tc>
        <w:tc>
          <w:tcPr>
            <w:tcW w:w="1131" w:type="dxa"/>
            <w:tcBorders>
              <w:top w:val="single" w:sz="4" w:space="0" w:color="auto"/>
              <w:left w:val="nil"/>
              <w:bottom w:val="single" w:sz="4" w:space="0" w:color="auto"/>
              <w:right w:val="single" w:sz="4" w:space="0" w:color="A6A6A6"/>
            </w:tcBorders>
            <w:shd w:val="clear" w:color="auto" w:fill="auto"/>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0,2</w:t>
            </w:r>
          </w:p>
        </w:tc>
        <w:tc>
          <w:tcPr>
            <w:tcW w:w="1300" w:type="dxa"/>
            <w:tcBorders>
              <w:top w:val="single" w:sz="4" w:space="0" w:color="auto"/>
              <w:left w:val="single" w:sz="4" w:space="0" w:color="A6A6A6"/>
              <w:bottom w:val="single" w:sz="4" w:space="0" w:color="auto"/>
              <w:right w:val="single" w:sz="4" w:space="0" w:color="A6A6A6"/>
            </w:tcBorders>
            <w:shd w:val="clear" w:color="000000" w:fill="FAC5C7"/>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0,0</w:t>
            </w:r>
          </w:p>
        </w:tc>
        <w:tc>
          <w:tcPr>
            <w:tcW w:w="1740" w:type="dxa"/>
            <w:tcBorders>
              <w:top w:val="single" w:sz="4" w:space="0" w:color="auto"/>
              <w:left w:val="single" w:sz="4" w:space="0" w:color="A6A6A6"/>
              <w:bottom w:val="single" w:sz="4" w:space="0" w:color="auto"/>
              <w:right w:val="single" w:sz="4" w:space="0" w:color="auto"/>
            </w:tcBorders>
            <w:shd w:val="clear" w:color="000000" w:fill="5A8AC6"/>
            <w:noWrap/>
            <w:vAlign w:val="bottom"/>
            <w:hideMark/>
          </w:tcPr>
          <w:p w:rsidR="00333205" w:rsidRPr="00333205" w:rsidRDefault="00333205" w:rsidP="00333205">
            <w:pPr>
              <w:spacing w:after="0" w:line="240" w:lineRule="auto"/>
              <w:jc w:val="center"/>
              <w:rPr>
                <w:rFonts w:ascii="Arial" w:eastAsia="Times New Roman" w:hAnsi="Arial" w:cs="Arial"/>
                <w:color w:val="000000"/>
                <w:sz w:val="18"/>
                <w:szCs w:val="18"/>
                <w:lang w:eastAsia="nb-NO"/>
              </w:rPr>
            </w:pPr>
            <w:r w:rsidRPr="00333205">
              <w:rPr>
                <w:rFonts w:ascii="Arial" w:eastAsia="Times New Roman" w:hAnsi="Arial" w:cs="Arial"/>
                <w:color w:val="000000"/>
                <w:sz w:val="18"/>
                <w:szCs w:val="18"/>
                <w:lang w:eastAsia="nb-NO"/>
              </w:rPr>
              <w:t>2,0</w:t>
            </w:r>
          </w:p>
        </w:tc>
      </w:tr>
    </w:tbl>
    <w:p w:rsidR="00333205" w:rsidRDefault="00333205" w:rsidP="00D66DA8"/>
    <w:p w:rsidR="00CA24A1" w:rsidRDefault="00C34875" w:rsidP="00D66DA8">
      <w:r>
        <w:t xml:space="preserve">Samlet antall arbeidsplasser i besøksnæringene i </w:t>
      </w:r>
      <w:proofErr w:type="spellStart"/>
      <w:r w:rsidR="00D900FD">
        <w:t>Glåmdal</w:t>
      </w:r>
      <w:proofErr w:type="spellEnd"/>
      <w:r w:rsidR="00D900FD">
        <w:t xml:space="preserve"> </w:t>
      </w:r>
      <w:r>
        <w:t xml:space="preserve">økte fra </w:t>
      </w:r>
      <w:r w:rsidR="00333205">
        <w:t>2 832</w:t>
      </w:r>
      <w:r>
        <w:t xml:space="preserve"> i 2000 til </w:t>
      </w:r>
      <w:r w:rsidR="00333205">
        <w:t>2 838</w:t>
      </w:r>
      <w:r>
        <w:t xml:space="preserve"> i 2013. Økningen var på </w:t>
      </w:r>
      <w:r w:rsidR="00333205">
        <w:t>6</w:t>
      </w:r>
      <w:r>
        <w:t xml:space="preserve"> ansatte, tilsvarende </w:t>
      </w:r>
      <w:r w:rsidR="00333205">
        <w:t>0</w:t>
      </w:r>
      <w:r>
        <w:t>,2 prosent</w:t>
      </w:r>
      <w:r w:rsidR="00F772D6">
        <w:t xml:space="preserve"> av samlet sysselsetting</w:t>
      </w:r>
      <w:r>
        <w:t>. Besøksnæringene har stått stille i regionen når vi ser på summen av antall ansatte, men når vi deler opp besøksnæringene</w:t>
      </w:r>
      <w:r w:rsidR="001C3762">
        <w:t>,</w:t>
      </w:r>
      <w:r>
        <w:t xml:space="preserve"> ser vi at det har skjedd en del endringer.</w:t>
      </w:r>
    </w:p>
    <w:p w:rsidR="00C34875" w:rsidRDefault="00C34875" w:rsidP="00D66DA8">
      <w:r>
        <w:t xml:space="preserve">Aktivitetsnæringene, som består av </w:t>
      </w:r>
      <w:r w:rsidR="00AA05BD">
        <w:t>opplevelsesnæringer, sport og fritid etc</w:t>
      </w:r>
      <w:r w:rsidR="001C3762">
        <w:t>.</w:t>
      </w:r>
      <w:r w:rsidR="00AA05BD">
        <w:t xml:space="preserve">, har hatt en prosentvis vekst på hele </w:t>
      </w:r>
      <w:r w:rsidR="00333205">
        <w:t>14,8</w:t>
      </w:r>
      <w:r w:rsidR="00AA05BD">
        <w:t xml:space="preserve"> prosent. Det har gitt </w:t>
      </w:r>
      <w:r w:rsidR="00333205">
        <w:t>49</w:t>
      </w:r>
      <w:r w:rsidR="00AA05BD">
        <w:t xml:space="preserve"> ekstra arbeidsplasser i regionen, som tilsvarer </w:t>
      </w:r>
      <w:r w:rsidR="00333205">
        <w:t>0,2</w:t>
      </w:r>
      <w:r w:rsidR="00AA05BD">
        <w:t xml:space="preserve"> prosent av samlet sysselsetting. Derfor blir vekstimpulsen fra veksten i aktivitetsnæringene </w:t>
      </w:r>
      <w:r w:rsidR="00333205">
        <w:t>0,2</w:t>
      </w:r>
      <w:r w:rsidR="00AA05BD">
        <w:t xml:space="preserve"> prosent. Det er en </w:t>
      </w:r>
      <w:r w:rsidR="00333205">
        <w:t>svakere</w:t>
      </w:r>
      <w:r w:rsidR="00AA05BD">
        <w:t xml:space="preserve"> vekstimpuls enn hva aktivitetsnæringene har gitt i Norge.</w:t>
      </w:r>
    </w:p>
    <w:p w:rsidR="00AA05BD" w:rsidRDefault="00AA05BD" w:rsidP="00D66DA8">
      <w:r>
        <w:t xml:space="preserve">Handelen er den klart </w:t>
      </w:r>
      <w:proofErr w:type="gramStart"/>
      <w:r>
        <w:t>størst</w:t>
      </w:r>
      <w:proofErr w:type="gramEnd"/>
      <w:r>
        <w:t xml:space="preserve"> delen av besøksnæringene, med sine </w:t>
      </w:r>
      <w:r w:rsidR="00333205">
        <w:t>2 151</w:t>
      </w:r>
      <w:r>
        <w:t xml:space="preserve"> arbeidsplasser i regionen i 2013. Handelen har hatt en </w:t>
      </w:r>
      <w:r w:rsidR="00333205">
        <w:t>nedgang</w:t>
      </w:r>
      <w:r>
        <w:t xml:space="preserve"> på </w:t>
      </w:r>
      <w:r w:rsidR="00333205">
        <w:t>24</w:t>
      </w:r>
      <w:r>
        <w:t xml:space="preserve"> arbeidsplasser. Det gir en beskjeden </w:t>
      </w:r>
      <w:r w:rsidR="00333205">
        <w:t xml:space="preserve">negativ </w:t>
      </w:r>
      <w:r>
        <w:t>vekstimpuls på 0,</w:t>
      </w:r>
      <w:r w:rsidR="00333205">
        <w:t>1</w:t>
      </w:r>
      <w:r>
        <w:t xml:space="preserve"> prosent.</w:t>
      </w:r>
    </w:p>
    <w:p w:rsidR="00AA05BD" w:rsidRDefault="00AA05BD" w:rsidP="00D66DA8">
      <w:r>
        <w:t xml:space="preserve">Overnattingsnæringen har </w:t>
      </w:r>
      <w:r w:rsidR="00333205">
        <w:t>økt antall arbeidsplasser med 37. Ettersom det var bare 108 arbeidsplasser i utgangspunktet, tilsvarte dette en prosentvis vekst på 34 prosent. Siden overnattingsbransjen er så liten, skap</w:t>
      </w:r>
      <w:r w:rsidR="001C3762">
        <w:t>t</w:t>
      </w:r>
      <w:r w:rsidR="00333205">
        <w:t>e denne veksten en vekstimpuls på bare 0,1 prosent.</w:t>
      </w:r>
    </w:p>
    <w:p w:rsidR="00AA05BD" w:rsidRDefault="001C3762" w:rsidP="00C819FF">
      <w:proofErr w:type="spellStart"/>
      <w:r>
        <w:t>Glåmdal</w:t>
      </w:r>
      <w:proofErr w:type="spellEnd"/>
      <w:r w:rsidR="00AA05BD">
        <w:t xml:space="preserve"> har også hatt en nedgang på </w:t>
      </w:r>
      <w:r w:rsidR="00333205">
        <w:t>56</w:t>
      </w:r>
      <w:r w:rsidR="00AA05BD">
        <w:t xml:space="preserve"> arbeidsplasser innen servering. I prosent tilsvare</w:t>
      </w:r>
      <w:r w:rsidR="00C819FF">
        <w:t>r</w:t>
      </w:r>
      <w:r w:rsidR="00AA05BD">
        <w:t xml:space="preserve"> dette </w:t>
      </w:r>
      <w:r w:rsidR="00333205">
        <w:t>25,6</w:t>
      </w:r>
      <w:r w:rsidR="00AA05BD">
        <w:t xml:space="preserve"> prosent. Serveringsbransjen var </w:t>
      </w:r>
      <w:r w:rsidR="00333205">
        <w:t xml:space="preserve">også </w:t>
      </w:r>
      <w:r w:rsidR="00AA05BD">
        <w:t>ganske liten i utgangspunktet, og derfor er den negative vekstimpulsen bare 0,2 prosent. Serveringsbransjen vokser på landbasis.</w:t>
      </w:r>
    </w:p>
    <w:p w:rsidR="00333205" w:rsidRDefault="00333205" w:rsidP="00C819FF">
      <w:r>
        <w:t>Statistikken skiller ikke alltid godt mellom arbeidsplasser i overnatting og servering. Ofte er det hoteller som både driver overnatting og servering, og da skilles det ikke alltid like konsekvent mellom disse bransjene.</w:t>
      </w:r>
    </w:p>
    <w:p w:rsidR="00AA05BD" w:rsidRPr="00E71A32" w:rsidRDefault="00AA05BD" w:rsidP="00D66DA8">
      <w:pPr>
        <w:rPr>
          <w:strike/>
        </w:rPr>
      </w:pPr>
    </w:p>
    <w:p w:rsidR="00D6584F" w:rsidRDefault="00914EB9">
      <w:pPr>
        <w:spacing w:after="0" w:line="240" w:lineRule="auto"/>
        <w:sectPr w:rsidR="00D6584F" w:rsidSect="00687F25">
          <w:type w:val="continuous"/>
          <w:pgSz w:w="11907" w:h="16840" w:code="9"/>
          <w:pgMar w:top="1440" w:right="1080" w:bottom="1440" w:left="1080" w:header="709" w:footer="709" w:gutter="0"/>
          <w:cols w:space="708"/>
          <w:docGrid w:linePitch="360"/>
        </w:sectPr>
      </w:pPr>
      <w:r>
        <w:br w:type="page"/>
      </w:r>
    </w:p>
    <w:p w:rsidR="00D6584F" w:rsidRDefault="00CA07EB" w:rsidP="008A0302">
      <w:pPr>
        <w:pStyle w:val="Overskrift3"/>
      </w:pPr>
      <w:bookmarkStart w:id="36" w:name="_Toc400090062"/>
      <w:r>
        <w:lastRenderedPageBreak/>
        <w:t>I</w:t>
      </w:r>
      <w:r w:rsidR="006E2573">
        <w:t>ndeksert vekst</w:t>
      </w:r>
      <w:bookmarkEnd w:id="36"/>
      <w:r w:rsidR="006E2573">
        <w:t xml:space="preserve"> </w:t>
      </w:r>
    </w:p>
    <w:p w:rsidR="007B608C" w:rsidRDefault="00A3123C" w:rsidP="00D6584F">
      <w:r w:rsidRPr="00AA05BD">
        <w:t xml:space="preserve">Til høyre vises den indekserte arbeidsplassveksten i besøksnæringene fra 2000 til 2013. </w:t>
      </w:r>
      <w:r w:rsidR="00A01FEF">
        <w:t>I figuren nederst ser vi samme graf for utviklingen i besøksbransjene på landsbasis.</w:t>
      </w:r>
    </w:p>
    <w:p w:rsidR="00A8086B" w:rsidRDefault="00C93AE3" w:rsidP="00D6584F">
      <w:r>
        <w:t>Overnattingsbransjen økte mye fram til 2008, men har gått litt tilbake etter det. Likevel har veksten vært på hele 34,3 prosent siden 2000. På landsbasis har antall arbeidsplasser i overnattingsnæringen gått ned, som vi ser av den nederste figuren.</w:t>
      </w:r>
    </w:p>
    <w:p w:rsidR="00C93AE3" w:rsidRDefault="00C93AE3" w:rsidP="00D6584F">
      <w:r>
        <w:t xml:space="preserve">Aktivitetsnæringene økte fram til 2011, men har blitt redusert de to siste årene. Aktivitetsnæringene har hatt en vekst på 14,8 prosent i </w:t>
      </w:r>
      <w:proofErr w:type="spellStart"/>
      <w:r>
        <w:t>Glåmdal</w:t>
      </w:r>
      <w:proofErr w:type="spellEnd"/>
      <w:r>
        <w:t>, men har økt med 27,7 prosent på landsbasis.</w:t>
      </w:r>
    </w:p>
    <w:p w:rsidR="00C93AE3" w:rsidRDefault="00C93AE3" w:rsidP="00D6584F">
      <w:r>
        <w:t>Det har vært en svak, men jevn nedgang i handelen. P</w:t>
      </w:r>
      <w:r w:rsidR="00AC7D16">
        <w:t>å</w:t>
      </w:r>
      <w:r>
        <w:t xml:space="preserve"> landsbasis har an</w:t>
      </w:r>
      <w:r w:rsidR="00AC7D16">
        <w:t>tall arbeidsplasser i handelen ø</w:t>
      </w:r>
      <w:r>
        <w:t>kt med 12,9 prosent.</w:t>
      </w:r>
    </w:p>
    <w:p w:rsidR="00C93AE3" w:rsidRDefault="00C93AE3" w:rsidP="00D6584F">
      <w:r>
        <w:t xml:space="preserve">Antall ansatte i serveringsbransjen har gått ned med over 25 prosent i </w:t>
      </w:r>
      <w:proofErr w:type="spellStart"/>
      <w:r>
        <w:t>Glåmdal</w:t>
      </w:r>
      <w:proofErr w:type="spellEnd"/>
      <w:r>
        <w:t>. Serveringsbransjen øker i Norge.</w:t>
      </w:r>
    </w:p>
    <w:p w:rsidR="00A8086B" w:rsidRPr="00AA05BD" w:rsidRDefault="00A8086B" w:rsidP="00D6584F"/>
    <w:p w:rsidR="00D6584F" w:rsidRDefault="00D6584F" w:rsidP="00D6584F">
      <w:r w:rsidRPr="00AA05BD">
        <w:br w:type="column"/>
      </w:r>
      <w:r w:rsidR="00C93AE3">
        <w:rPr>
          <w:noProof/>
          <w:lang w:eastAsia="nb-NO"/>
        </w:rPr>
        <w:lastRenderedPageBreak/>
        <w:drawing>
          <wp:inline distT="0" distB="0" distL="0" distR="0">
            <wp:extent cx="2981325" cy="3514477"/>
            <wp:effectExtent l="0" t="0" r="0" b="0"/>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6584F" w:rsidRDefault="007A5C40" w:rsidP="007A5C40">
      <w:pPr>
        <w:pStyle w:val="Bildetekst"/>
      </w:pPr>
      <w:r>
        <w:t xml:space="preserve">Figur </w:t>
      </w:r>
      <w:r w:rsidR="004B3D9E">
        <w:fldChar w:fldCharType="begin"/>
      </w:r>
      <w:r>
        <w:instrText xml:space="preserve"> SEQ Figur \* ARABIC </w:instrText>
      </w:r>
      <w:r w:rsidR="004B3D9E">
        <w:fldChar w:fldCharType="separate"/>
      </w:r>
      <w:r w:rsidR="00CD5BFF">
        <w:rPr>
          <w:noProof/>
        </w:rPr>
        <w:t>30</w:t>
      </w:r>
      <w:r w:rsidR="004B3D9E">
        <w:fldChar w:fldCharType="end"/>
      </w:r>
      <w:r w:rsidR="00AA05BD">
        <w:t xml:space="preserve">: Indeksert arbeidsplassvekst </w:t>
      </w:r>
      <w:r>
        <w:t xml:space="preserve">i antall arbeidsplasser i bransjene i besøksnæringene i </w:t>
      </w:r>
      <w:proofErr w:type="spellStart"/>
      <w:r w:rsidR="00C93AE3">
        <w:t>Glåmdal</w:t>
      </w:r>
      <w:proofErr w:type="spellEnd"/>
      <w:r w:rsidR="00AA05BD">
        <w:t xml:space="preserve"> </w:t>
      </w:r>
      <w:r>
        <w:t xml:space="preserve">fra 2000 til 2013. </w:t>
      </w:r>
    </w:p>
    <w:p w:rsidR="00307D4B" w:rsidRPr="00307D4B" w:rsidRDefault="00307D4B" w:rsidP="00307D4B"/>
    <w:p w:rsidR="002D7D93" w:rsidRDefault="00222456" w:rsidP="00D6584F">
      <w:r>
        <w:rPr>
          <w:noProof/>
          <w:lang w:eastAsia="nb-NO"/>
        </w:rPr>
        <w:drawing>
          <wp:inline distT="0" distB="0" distL="0" distR="0">
            <wp:extent cx="2869565" cy="3522428"/>
            <wp:effectExtent l="0" t="0" r="6985" b="190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6584F" w:rsidRDefault="008C63ED" w:rsidP="00307D4B">
      <w:pPr>
        <w:pStyle w:val="Bildetekst"/>
        <w:sectPr w:rsidR="00D6584F" w:rsidSect="00687F25">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31</w:t>
      </w:r>
      <w:r w:rsidR="004B3D9E">
        <w:fldChar w:fldCharType="end"/>
      </w:r>
      <w:r>
        <w:t xml:space="preserve">: Indeksert vekst i antall arbeidsplasser i besøksnæringene i Norge fra 2000 til 2013. </w:t>
      </w:r>
      <w:r w:rsidR="00D6584F">
        <w:br w:type="page"/>
      </w:r>
    </w:p>
    <w:p w:rsidR="000B2090" w:rsidRDefault="00E92AC4" w:rsidP="00570EE0">
      <w:pPr>
        <w:pStyle w:val="Overskrift3"/>
        <w:tabs>
          <w:tab w:val="clear" w:pos="720"/>
          <w:tab w:val="num" w:pos="0"/>
          <w:tab w:val="left" w:pos="284"/>
          <w:tab w:val="left" w:pos="993"/>
        </w:tabs>
      </w:pPr>
      <w:bookmarkStart w:id="37" w:name="_Toc400090063"/>
      <w:r>
        <w:lastRenderedPageBreak/>
        <w:t>Besøksnæringer nivå</w:t>
      </w:r>
      <w:bookmarkEnd w:id="37"/>
    </w:p>
    <w:p w:rsidR="006E1682" w:rsidRDefault="00D728DE" w:rsidP="000B2090">
      <w:r>
        <w:t>Figur 3</w:t>
      </w:r>
      <w:r w:rsidR="006E1682">
        <w:t>1</w:t>
      </w:r>
      <w:r>
        <w:t xml:space="preserve"> til høyre viser nivået på besøksnæringene i kommunene i </w:t>
      </w:r>
      <w:r w:rsidR="00C93AE3">
        <w:t>Hedmark</w:t>
      </w:r>
      <w:r>
        <w:t xml:space="preserve">. Nivået er målt som antall arbeidsplasser som andel av samlet sysselsetting. </w:t>
      </w:r>
    </w:p>
    <w:p w:rsidR="00C93AE3" w:rsidRDefault="00C93AE3" w:rsidP="000B2090">
      <w:r>
        <w:t>Trysil og Tynset</w:t>
      </w:r>
      <w:r w:rsidR="006E1682">
        <w:t xml:space="preserve"> er kommuner med ganske høy andel besøksnæringer. Der er rangert som henholdsvis nummer </w:t>
      </w:r>
      <w:r>
        <w:t>18</w:t>
      </w:r>
      <w:r w:rsidR="006E1682">
        <w:t xml:space="preserve"> og </w:t>
      </w:r>
      <w:r>
        <w:t>24</w:t>
      </w:r>
      <w:r w:rsidR="006E1682">
        <w:t xml:space="preserve"> av de 428 kommunene i landet med hensyn til besøksnæringenes andel av samlet sysselsetting. </w:t>
      </w:r>
    </w:p>
    <w:p w:rsidR="006E1682" w:rsidRDefault="00C93AE3" w:rsidP="000B2090">
      <w:r>
        <w:t xml:space="preserve">Hamar, Elverum og Kongsvinger er regionale handelssentra som har mange arbeidsplasser i butikkhandel. Åsnes har også relativt mye handel. De andre kommunene i </w:t>
      </w:r>
      <w:proofErr w:type="spellStart"/>
      <w:r>
        <w:t>Glåmdal</w:t>
      </w:r>
      <w:proofErr w:type="spellEnd"/>
      <w:r>
        <w:t xml:space="preserve"> har alle relativt få arbeidsplasser i butikkhandel. Det ser ut til at de </w:t>
      </w:r>
      <w:r w:rsidR="000736C9">
        <w:t xml:space="preserve">som bor i disse kommunene </w:t>
      </w:r>
      <w:r>
        <w:t>handler i Kongsvinger.</w:t>
      </w:r>
    </w:p>
    <w:p w:rsidR="0075372B" w:rsidRDefault="00E744D5" w:rsidP="000B2090">
      <w:r>
        <w:t xml:space="preserve">Figur 33 viser vekstimpulsene fra besøksnæringene i kommunene i </w:t>
      </w:r>
      <w:r w:rsidR="00C93AE3">
        <w:t>Hedmark</w:t>
      </w:r>
      <w:r>
        <w:t xml:space="preserve"> fra </w:t>
      </w:r>
      <w:r w:rsidR="004A0701">
        <w:t>perioden 2000</w:t>
      </w:r>
      <w:r w:rsidR="0075372B">
        <w:t>-2013</w:t>
      </w:r>
      <w:r>
        <w:t xml:space="preserve">. Figuren viser hva arbeidsplassveksten i besøksnæringene har utgjort som andel av sysselsettingen. </w:t>
      </w:r>
      <w:r w:rsidR="0075372B">
        <w:t>Vekstimpulsene er rangert til venstre etter samlet vekstimpuls for besøksnæringene.</w:t>
      </w:r>
    </w:p>
    <w:p w:rsidR="0075372B" w:rsidRDefault="00C93AE3" w:rsidP="000B2090">
      <w:r>
        <w:t>Kongsvinger</w:t>
      </w:r>
      <w:r w:rsidR="0075372B">
        <w:t xml:space="preserve"> har hatt vekstimpulser fra handel og servering, mens </w:t>
      </w:r>
      <w:r>
        <w:t>servering</w:t>
      </w:r>
      <w:r w:rsidR="0075372B">
        <w:t xml:space="preserve"> har gått tilbake. Samlet sett har </w:t>
      </w:r>
      <w:r>
        <w:t>Kongsvinger</w:t>
      </w:r>
      <w:r w:rsidR="0075372B">
        <w:t xml:space="preserve"> hatt positiv vekstimpuls, og er rangert som nummer </w:t>
      </w:r>
      <w:r>
        <w:t>157</w:t>
      </w:r>
      <w:r w:rsidR="0075372B">
        <w:t xml:space="preserve"> av 428 kommuner.</w:t>
      </w:r>
    </w:p>
    <w:p w:rsidR="0075372B" w:rsidRDefault="00C93AE3" w:rsidP="000B2090">
      <w:r>
        <w:t xml:space="preserve">De andre kommunene i </w:t>
      </w:r>
      <w:proofErr w:type="spellStart"/>
      <w:r>
        <w:t>Glåmdal</w:t>
      </w:r>
      <w:proofErr w:type="spellEnd"/>
      <w:r>
        <w:t xml:space="preserve"> har hatt nedgang i besøksnæringene. Det kan se ut til at Kongsvinger har styrket sin posisjon </w:t>
      </w:r>
      <w:r w:rsidR="000E51A4">
        <w:t>s</w:t>
      </w:r>
      <w:r>
        <w:t>om regionalt handelssenter siden 2000.</w:t>
      </w:r>
    </w:p>
    <w:p w:rsidR="00C93AE3" w:rsidRDefault="00C93AE3" w:rsidP="000B2090"/>
    <w:p w:rsidR="00BA4A2A" w:rsidRDefault="007A06DE" w:rsidP="00472984">
      <w:pPr>
        <w:pStyle w:val="Bildetekst"/>
      </w:pPr>
      <w:r>
        <w:t xml:space="preserve"> </w:t>
      </w:r>
      <w:r w:rsidR="00AD579E">
        <w:br w:type="column"/>
      </w:r>
      <w:r w:rsidR="00472984">
        <w:rPr>
          <w:noProof/>
          <w:lang w:eastAsia="nb-NO"/>
        </w:rPr>
        <w:lastRenderedPageBreak/>
        <w:drawing>
          <wp:inline distT="0" distB="0" distL="0" distR="0">
            <wp:extent cx="2981325" cy="3590925"/>
            <wp:effectExtent l="0" t="0" r="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024E33">
        <w:t xml:space="preserve">Figur </w:t>
      </w:r>
      <w:r w:rsidR="004B3D9E">
        <w:fldChar w:fldCharType="begin"/>
      </w:r>
      <w:r w:rsidR="00024E33">
        <w:instrText xml:space="preserve"> SEQ Figur \* ARABIC </w:instrText>
      </w:r>
      <w:r w:rsidR="004B3D9E">
        <w:fldChar w:fldCharType="separate"/>
      </w:r>
      <w:r w:rsidR="00CD5BFF">
        <w:rPr>
          <w:noProof/>
        </w:rPr>
        <w:t>32</w:t>
      </w:r>
      <w:r w:rsidR="004B3D9E">
        <w:fldChar w:fldCharType="end"/>
      </w:r>
      <w:r w:rsidR="00024E33">
        <w:t xml:space="preserve">: Nivå, antall arbeidsplasser i besøksnæringene som andel av sysselsettingen, i kommunene i </w:t>
      </w:r>
      <w:r w:rsidR="00472984">
        <w:t>Hedmark</w:t>
      </w:r>
      <w:r w:rsidR="00024E33">
        <w:t xml:space="preserve"> i 2013. </w:t>
      </w:r>
      <w:r w:rsidR="008529A1">
        <w:t xml:space="preserve">Rangering blant landets 428 kommuner. </w:t>
      </w:r>
    </w:p>
    <w:p w:rsidR="0075372B" w:rsidRDefault="00472984" w:rsidP="0075372B">
      <w:pPr>
        <w:pStyle w:val="Bildetekst"/>
      </w:pPr>
      <w:r>
        <w:rPr>
          <w:noProof/>
          <w:lang w:eastAsia="nb-NO"/>
        </w:rPr>
        <w:drawing>
          <wp:inline distT="0" distB="0" distL="0" distR="0">
            <wp:extent cx="2943225" cy="3743325"/>
            <wp:effectExtent l="0" t="0" r="0" b="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75372B">
        <w:t xml:space="preserve">Figur </w:t>
      </w:r>
      <w:r w:rsidR="004B3D9E">
        <w:fldChar w:fldCharType="begin"/>
      </w:r>
      <w:r w:rsidR="0075372B">
        <w:instrText xml:space="preserve"> SEQ Figur \* ARABIC </w:instrText>
      </w:r>
      <w:r w:rsidR="004B3D9E">
        <w:fldChar w:fldCharType="separate"/>
      </w:r>
      <w:r w:rsidR="00CD5BFF">
        <w:rPr>
          <w:noProof/>
        </w:rPr>
        <w:t>33</w:t>
      </w:r>
      <w:r w:rsidR="004B3D9E">
        <w:fldChar w:fldCharType="end"/>
      </w:r>
      <w:r w:rsidR="0075372B">
        <w:t xml:space="preserve">: </w:t>
      </w:r>
      <w:r w:rsidR="0075372B" w:rsidRPr="009C7B5F">
        <w:t xml:space="preserve">Vekstimpulser, dvs. endring i antall arbeidsplasser i besøksnæringene som andel av sysselsettingen, kommunene i </w:t>
      </w:r>
      <w:r>
        <w:t>Hedmark</w:t>
      </w:r>
      <w:r w:rsidR="0075372B" w:rsidRPr="009C7B5F">
        <w:t>, 20</w:t>
      </w:r>
      <w:r w:rsidR="0075372B">
        <w:t>11</w:t>
      </w:r>
      <w:r w:rsidR="0075372B" w:rsidRPr="009C7B5F">
        <w:t>-2013. Rangering blant landets 428 kommuner.</w:t>
      </w:r>
    </w:p>
    <w:p w:rsidR="000B2090" w:rsidRDefault="000B2090" w:rsidP="00AC5320">
      <w:pPr>
        <w:pStyle w:val="Bildetekst"/>
        <w:sectPr w:rsidR="000B2090" w:rsidSect="00687F25">
          <w:type w:val="continuous"/>
          <w:pgSz w:w="11907" w:h="16840" w:code="9"/>
          <w:pgMar w:top="1440" w:right="1080" w:bottom="1440" w:left="1080" w:header="709" w:footer="709" w:gutter="0"/>
          <w:cols w:num="2" w:space="708"/>
          <w:docGrid w:linePitch="360"/>
        </w:sectPr>
      </w:pPr>
    </w:p>
    <w:p w:rsidR="000B2090" w:rsidRDefault="00EA123F" w:rsidP="006E0500">
      <w:pPr>
        <w:pStyle w:val="Overskrift3"/>
      </w:pPr>
      <w:bookmarkStart w:id="38" w:name="_Toc400090065"/>
      <w:r>
        <w:lastRenderedPageBreak/>
        <w:t>Dekomponering av veksten i besøksnæringene</w:t>
      </w:r>
      <w:bookmarkEnd w:id="38"/>
      <w:r>
        <w:t xml:space="preserve"> </w:t>
      </w:r>
    </w:p>
    <w:p w:rsidR="00EA123F" w:rsidRDefault="00992F50" w:rsidP="000B2090">
      <w:r>
        <w:t>For å forklare hva veksten skyldes</w:t>
      </w:r>
      <w:r w:rsidR="005A28FE">
        <w:t>,</w:t>
      </w:r>
      <w:r>
        <w:t xml:space="preserve"> har vi tidligere dekomponert veksten i nasjonalt bidrag, bransjeeffekt og bransjejustert vekst. </w:t>
      </w:r>
      <w:r w:rsidR="005A28FE">
        <w:t xml:space="preserve">Det som kjennetegner besøksnæringene er at kunden må være personlig til stede. Handelen er den største av besøksnæringene, og besøksnæringene omsetter mye til egen befolkning. Da vil steder med befolkningsvekst kunne forvente en øking i besøksnæringene. Dette må vi justere for. </w:t>
      </w:r>
      <w:r w:rsidR="00F328E3">
        <w:t xml:space="preserve">Vekst utover det befolkningsutviklingen skulle tilsi kaller vi </w:t>
      </w:r>
      <w:r w:rsidR="005F516B">
        <w:t xml:space="preserve">endring i </w:t>
      </w:r>
      <w:r w:rsidR="00F328E3">
        <w:t xml:space="preserve">besøksoverskudd, og dette er et mål på besøksattraktiviteten. </w:t>
      </w:r>
    </w:p>
    <w:p w:rsidR="00F328E3" w:rsidRDefault="00F328E3" w:rsidP="000B2090">
      <w:r>
        <w:t>I figur 3</w:t>
      </w:r>
      <w:r w:rsidR="007B0159">
        <w:t>4</w:t>
      </w:r>
      <w:r>
        <w:t xml:space="preserve"> viser en røde </w:t>
      </w:r>
      <w:proofErr w:type="gramStart"/>
      <w:r>
        <w:t>linjen</w:t>
      </w:r>
      <w:proofErr w:type="gramEnd"/>
      <w:r>
        <w:t xml:space="preserve"> vekstimpulsene i besøksnæringene fra ett år til et annet. De årlige vekstimpulsene er dekomponert i nasjonalt bidrag, befolkningseffekt og </w:t>
      </w:r>
      <w:r w:rsidR="005F516B">
        <w:t xml:space="preserve">endring i </w:t>
      </w:r>
      <w:r>
        <w:t xml:space="preserve">besøksoverskudd. </w:t>
      </w:r>
    </w:p>
    <w:p w:rsidR="00A32380" w:rsidRDefault="00C93AE3" w:rsidP="000B2090">
      <w:r>
        <w:t>Endringene i besøksoverskuddet, som er en indikator for besøksattraktivitet, har variert ganske mye. I noen perioder har regionen økt sin besøksattraktivitet, mens i andre perioder har regionen hatt relativ nedgang. I de to siste periodene har besøksnæringene utviklet seg negativt. Vi kan også se at befolkningseffekten har blitt mer negativ i de siste periodene.</w:t>
      </w:r>
    </w:p>
    <w:p w:rsidR="00A32380" w:rsidRDefault="002172B7" w:rsidP="000B2090">
      <w:r>
        <w:t xml:space="preserve">Utviklingen </w:t>
      </w:r>
      <w:r w:rsidR="00A32380">
        <w:t xml:space="preserve">i den siste treårsperioden, som er den siste søylen i figur </w:t>
      </w:r>
      <w:r w:rsidR="007B0159">
        <w:t>34</w:t>
      </w:r>
      <w:r w:rsidR="00A32380">
        <w:t xml:space="preserve">, </w:t>
      </w:r>
      <w:r>
        <w:t xml:space="preserve">er oppsummert for alle kommunene i </w:t>
      </w:r>
      <w:r w:rsidR="00C93AE3">
        <w:t>Hedmark</w:t>
      </w:r>
      <w:r>
        <w:t xml:space="preserve"> i figur 3</w:t>
      </w:r>
      <w:r w:rsidR="007B0159">
        <w:t>5</w:t>
      </w:r>
      <w:r>
        <w:t xml:space="preserve">. </w:t>
      </w:r>
    </w:p>
    <w:p w:rsidR="00C93AE3" w:rsidRDefault="00C93AE3" w:rsidP="000B2090">
      <w:r>
        <w:t>Nord-Odal, Eidskog og Sør-Odal har hatt en forholdsvis bra utvikling av sine besøksnæringer de siste tre årene, den svake befolkningsutviklingen tatt i betraktning.</w:t>
      </w:r>
    </w:p>
    <w:p w:rsidR="00C93AE3" w:rsidRDefault="00C93AE3" w:rsidP="000B2090">
      <w:r>
        <w:t>Åsnes, Kongsvinger, Grue og Våler hatt en svak utvikling i sine besøksnæringer.</w:t>
      </w:r>
    </w:p>
    <w:p w:rsidR="00EA123F" w:rsidRDefault="000D4F82" w:rsidP="000B2090">
      <w:r>
        <w:br w:type="column"/>
      </w:r>
      <w:r w:rsidR="00472984">
        <w:rPr>
          <w:noProof/>
          <w:lang w:eastAsia="nb-NO"/>
        </w:rPr>
        <w:lastRenderedPageBreak/>
        <w:drawing>
          <wp:inline distT="0" distB="0" distL="0" distR="0">
            <wp:extent cx="2869565" cy="2578100"/>
            <wp:effectExtent l="0" t="0" r="6985" b="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A123F" w:rsidRDefault="004E7439" w:rsidP="004E7439">
      <w:pPr>
        <w:pStyle w:val="Bildetekst"/>
      </w:pPr>
      <w:r>
        <w:t xml:space="preserve">Figur </w:t>
      </w:r>
      <w:r w:rsidR="004B3D9E">
        <w:fldChar w:fldCharType="begin"/>
      </w:r>
      <w:r>
        <w:instrText xml:space="preserve"> SEQ Figur \* ARABIC </w:instrText>
      </w:r>
      <w:r w:rsidR="004B3D9E">
        <w:fldChar w:fldCharType="separate"/>
      </w:r>
      <w:r w:rsidR="00CD5BFF">
        <w:rPr>
          <w:noProof/>
        </w:rPr>
        <w:t>34</w:t>
      </w:r>
      <w:r w:rsidR="004B3D9E">
        <w:fldChar w:fldCharType="end"/>
      </w:r>
      <w:r>
        <w:t xml:space="preserve">: Vekstimpulser fra besøksnæringene </w:t>
      </w:r>
      <w:r w:rsidR="00170D40">
        <w:t xml:space="preserve">i </w:t>
      </w:r>
      <w:proofErr w:type="spellStart"/>
      <w:r w:rsidR="00CC5311">
        <w:t>Glåmdal</w:t>
      </w:r>
      <w:proofErr w:type="spellEnd"/>
      <w:r w:rsidR="00170D40">
        <w:t xml:space="preserve"> </w:t>
      </w:r>
      <w:r w:rsidR="001D2C53">
        <w:t>fra 2000 til 2013, d</w:t>
      </w:r>
      <w:r>
        <w:t xml:space="preserve">ekomponert i nasjonalt bidrag, befolkningseffekt og </w:t>
      </w:r>
      <w:r w:rsidR="00D76FD3">
        <w:t xml:space="preserve">endring i </w:t>
      </w:r>
      <w:r>
        <w:t xml:space="preserve">besøksoverskudd. </w:t>
      </w:r>
      <w:r w:rsidR="00A32380">
        <w:t>Tre åres glidende gjennomsnitt.</w:t>
      </w:r>
    </w:p>
    <w:p w:rsidR="00B957A3" w:rsidRDefault="00472984" w:rsidP="00B957A3">
      <w:pPr>
        <w:pStyle w:val="Bildetekst"/>
        <w:sectPr w:rsidR="00B957A3" w:rsidSect="00687F25">
          <w:type w:val="continuous"/>
          <w:pgSz w:w="11907" w:h="16840" w:code="9"/>
          <w:pgMar w:top="1440" w:right="1080" w:bottom="1440" w:left="1080" w:header="709" w:footer="709" w:gutter="0"/>
          <w:cols w:num="2" w:space="708"/>
          <w:docGrid w:linePitch="360"/>
        </w:sectPr>
      </w:pPr>
      <w:r>
        <w:rPr>
          <w:noProof/>
          <w:lang w:eastAsia="nb-NO"/>
        </w:rPr>
        <w:drawing>
          <wp:inline distT="0" distB="0" distL="0" distR="0">
            <wp:extent cx="3105150" cy="3999865"/>
            <wp:effectExtent l="0" t="0" r="0" b="635"/>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475921">
        <w:t xml:space="preserve">Figur </w:t>
      </w:r>
      <w:r w:rsidR="004B3D9E">
        <w:fldChar w:fldCharType="begin"/>
      </w:r>
      <w:r w:rsidR="00475921">
        <w:instrText xml:space="preserve"> SEQ Figur \* ARABIC </w:instrText>
      </w:r>
      <w:r w:rsidR="004B3D9E">
        <w:fldChar w:fldCharType="separate"/>
      </w:r>
      <w:r w:rsidR="00CD5BFF">
        <w:rPr>
          <w:noProof/>
        </w:rPr>
        <w:t>35</w:t>
      </w:r>
      <w:r w:rsidR="004B3D9E">
        <w:fldChar w:fldCharType="end"/>
      </w:r>
      <w:r w:rsidR="00475921">
        <w:t xml:space="preserve">: </w:t>
      </w:r>
      <w:r w:rsidR="00E663B4">
        <w:t>Vekstimpul</w:t>
      </w:r>
      <w:r w:rsidR="00601DE8">
        <w:t>ser fra besøksnæringene fra 2010</w:t>
      </w:r>
      <w:r w:rsidR="00E663B4">
        <w:t xml:space="preserve"> til 2013 i kommunene i </w:t>
      </w:r>
      <w:r w:rsidR="00005FCE">
        <w:t>Hed</w:t>
      </w:r>
      <w:r w:rsidR="00CC5311">
        <w:t>mark</w:t>
      </w:r>
      <w:r w:rsidR="00E663B4">
        <w:t xml:space="preserve"> dekomponert i nasjonalt bidrag, befolkningseffekt og befolkningsoverskudd. </w:t>
      </w:r>
      <w:r w:rsidR="00B957A3">
        <w:br w:type="page"/>
      </w:r>
    </w:p>
    <w:p w:rsidR="00B957A3" w:rsidRDefault="00B957A3" w:rsidP="00B957A3">
      <w:pPr>
        <w:pStyle w:val="Overskrift2"/>
      </w:pPr>
      <w:bookmarkStart w:id="39" w:name="_Toc400090066"/>
      <w:r>
        <w:lastRenderedPageBreak/>
        <w:t>Regionale næringer</w:t>
      </w:r>
      <w:bookmarkEnd w:id="39"/>
    </w:p>
    <w:p w:rsidR="0023445D" w:rsidRDefault="00A44322" w:rsidP="00A44322">
      <w:r>
        <w:t>Tabellen under viser bransjeinndelingen i de regionale næringene og antall arbeidsplasser i disse bransjene i 2000</w:t>
      </w:r>
      <w:r w:rsidR="00C819FF">
        <w:t xml:space="preserve"> </w:t>
      </w:r>
      <w:r>
        <w:t>og 2013. Videre viser tabellen absolutt og prosentvis endring i antall arbeidsplasser fra 200</w:t>
      </w:r>
      <w:r w:rsidR="00471B43">
        <w:t>0</w:t>
      </w:r>
      <w:r>
        <w:t xml:space="preserve"> til 2013. De to siste kolonnene viser vekstimpulsen i henholdsvis </w:t>
      </w:r>
      <w:proofErr w:type="spellStart"/>
      <w:r w:rsidR="00841F7D">
        <w:t>Glåmdal</w:t>
      </w:r>
      <w:proofErr w:type="spellEnd"/>
      <w:r>
        <w:t xml:space="preserve"> og Norge fra 200</w:t>
      </w:r>
      <w:r w:rsidR="00471B43">
        <w:t>0</w:t>
      </w:r>
      <w:r>
        <w:t xml:space="preserve"> til 2013. Vekstimpulsene er kodet med farger, slik at den høyeste verdien er mørk blå, og den laveste verdien er mørk råd. Verdiene imellom er fargegradert etter hvor langt fra ytterpunktene de står. </w:t>
      </w:r>
    </w:p>
    <w:p w:rsidR="00471B43" w:rsidRDefault="00EE6659" w:rsidP="0030270A">
      <w:pPr>
        <w:pStyle w:val="Bildetekst"/>
      </w:pPr>
      <w:r>
        <w:t xml:space="preserve">Tabell </w:t>
      </w:r>
      <w:r w:rsidR="004B3D9E">
        <w:fldChar w:fldCharType="begin"/>
      </w:r>
      <w:r>
        <w:instrText xml:space="preserve"> SEQ Tabell \* ARABIC </w:instrText>
      </w:r>
      <w:r w:rsidR="004B3D9E">
        <w:fldChar w:fldCharType="separate"/>
      </w:r>
      <w:r w:rsidR="00CD5BFF">
        <w:rPr>
          <w:noProof/>
        </w:rPr>
        <w:t>4</w:t>
      </w:r>
      <w:r w:rsidR="004B3D9E">
        <w:fldChar w:fldCharType="end"/>
      </w:r>
      <w:r>
        <w:t xml:space="preserve">: </w:t>
      </w:r>
      <w:r w:rsidR="00D5132A">
        <w:t xml:space="preserve">Antall arbeidsplasser i </w:t>
      </w:r>
      <w:r w:rsidR="002422CE">
        <w:t xml:space="preserve">de regionale næringene </w:t>
      </w:r>
      <w:r w:rsidR="00AE7E22">
        <w:t>200</w:t>
      </w:r>
      <w:r w:rsidR="00BB0881">
        <w:t>0</w:t>
      </w:r>
      <w:r w:rsidR="00D5132A">
        <w:t xml:space="preserve"> og 2013, absolutt endring, prosentvisendring, og vekstim</w:t>
      </w:r>
      <w:r w:rsidR="00AE7E22">
        <w:t xml:space="preserve">puls i </w:t>
      </w:r>
      <w:proofErr w:type="spellStart"/>
      <w:r w:rsidR="0030270A">
        <w:t>Glåmdal</w:t>
      </w:r>
      <w:proofErr w:type="spellEnd"/>
      <w:r w:rsidR="00943E29">
        <w:t xml:space="preserve"> og Norge fra 2000</w:t>
      </w:r>
      <w:r w:rsidR="00D5132A">
        <w:t xml:space="preserve"> til 2013. </w:t>
      </w:r>
    </w:p>
    <w:tbl>
      <w:tblPr>
        <w:tblW w:w="9100" w:type="dxa"/>
        <w:tblCellMar>
          <w:left w:w="70" w:type="dxa"/>
          <w:right w:w="70" w:type="dxa"/>
        </w:tblCellMar>
        <w:tblLook w:val="04A0"/>
      </w:tblPr>
      <w:tblGrid>
        <w:gridCol w:w="2020"/>
        <w:gridCol w:w="700"/>
        <w:gridCol w:w="760"/>
        <w:gridCol w:w="1560"/>
        <w:gridCol w:w="1020"/>
        <w:gridCol w:w="1300"/>
        <w:gridCol w:w="1740"/>
      </w:tblGrid>
      <w:tr w:rsidR="0030270A" w:rsidRPr="0030270A" w:rsidTr="0030270A">
        <w:trPr>
          <w:trHeight w:val="255"/>
        </w:trPr>
        <w:tc>
          <w:tcPr>
            <w:tcW w:w="2020" w:type="dxa"/>
            <w:tcBorders>
              <w:top w:val="nil"/>
              <w:left w:val="nil"/>
              <w:bottom w:val="nil"/>
              <w:right w:val="nil"/>
            </w:tcBorders>
            <w:shd w:val="clear" w:color="4F81BD" w:fill="4F81BD"/>
            <w:noWrap/>
            <w:vAlign w:val="bottom"/>
            <w:hideMark/>
          </w:tcPr>
          <w:p w:rsidR="0030270A" w:rsidRPr="0030270A" w:rsidRDefault="0030270A" w:rsidP="0030270A">
            <w:pPr>
              <w:spacing w:after="0" w:line="240" w:lineRule="auto"/>
              <w:rPr>
                <w:rFonts w:ascii="Arial" w:eastAsia="Times New Roman" w:hAnsi="Arial" w:cs="Arial"/>
                <w:b/>
                <w:bCs/>
                <w:color w:val="FFFFFF"/>
                <w:szCs w:val="20"/>
                <w:lang w:eastAsia="nb-NO"/>
              </w:rPr>
            </w:pPr>
            <w:r w:rsidRPr="0030270A">
              <w:rPr>
                <w:rFonts w:ascii="Arial" w:eastAsia="Times New Roman" w:hAnsi="Arial" w:cs="Arial"/>
                <w:b/>
                <w:bCs/>
                <w:color w:val="FFFFFF"/>
                <w:szCs w:val="20"/>
                <w:lang w:eastAsia="nb-NO"/>
              </w:rPr>
              <w:t>Bransje</w:t>
            </w:r>
          </w:p>
        </w:tc>
        <w:tc>
          <w:tcPr>
            <w:tcW w:w="700" w:type="dxa"/>
            <w:tcBorders>
              <w:top w:val="single" w:sz="4" w:space="0" w:color="A6A6A6"/>
              <w:left w:val="single" w:sz="4" w:space="0" w:color="A6A6A6"/>
              <w:bottom w:val="single" w:sz="4" w:space="0" w:color="A6A6A6"/>
              <w:right w:val="single" w:sz="4" w:space="0" w:color="A6A6A6"/>
            </w:tcBorders>
            <w:shd w:val="clear" w:color="000000" w:fill="4F81BD"/>
            <w:noWrap/>
            <w:vAlign w:val="center"/>
            <w:hideMark/>
          </w:tcPr>
          <w:p w:rsidR="0030270A" w:rsidRPr="0030270A" w:rsidRDefault="0030270A" w:rsidP="0030270A">
            <w:pPr>
              <w:spacing w:after="0" w:line="240" w:lineRule="auto"/>
              <w:jc w:val="center"/>
              <w:rPr>
                <w:rFonts w:ascii="Arial" w:eastAsia="Times New Roman" w:hAnsi="Arial" w:cs="Arial"/>
                <w:b/>
                <w:bCs/>
                <w:color w:val="FFFFFF"/>
                <w:sz w:val="18"/>
                <w:szCs w:val="18"/>
                <w:lang w:eastAsia="nb-NO"/>
              </w:rPr>
            </w:pPr>
            <w:r w:rsidRPr="0030270A">
              <w:rPr>
                <w:rFonts w:ascii="Arial" w:eastAsia="Times New Roman" w:hAnsi="Arial" w:cs="Arial"/>
                <w:b/>
                <w:bCs/>
                <w:color w:val="FFFFFF"/>
                <w:sz w:val="18"/>
                <w:szCs w:val="18"/>
                <w:lang w:eastAsia="nb-NO"/>
              </w:rPr>
              <w:t>2000</w:t>
            </w:r>
          </w:p>
        </w:tc>
        <w:tc>
          <w:tcPr>
            <w:tcW w:w="760" w:type="dxa"/>
            <w:tcBorders>
              <w:top w:val="single" w:sz="4" w:space="0" w:color="A6A6A6"/>
              <w:left w:val="nil"/>
              <w:bottom w:val="single" w:sz="4" w:space="0" w:color="A6A6A6"/>
              <w:right w:val="single" w:sz="4" w:space="0" w:color="A6A6A6"/>
            </w:tcBorders>
            <w:shd w:val="clear" w:color="000000" w:fill="4F81BD"/>
            <w:noWrap/>
            <w:vAlign w:val="center"/>
            <w:hideMark/>
          </w:tcPr>
          <w:p w:rsidR="0030270A" w:rsidRPr="0030270A" w:rsidRDefault="0030270A" w:rsidP="0030270A">
            <w:pPr>
              <w:spacing w:after="0" w:line="240" w:lineRule="auto"/>
              <w:jc w:val="center"/>
              <w:rPr>
                <w:rFonts w:ascii="Arial" w:eastAsia="Times New Roman" w:hAnsi="Arial" w:cs="Arial"/>
                <w:b/>
                <w:bCs/>
                <w:color w:val="FFFFFF"/>
                <w:sz w:val="18"/>
                <w:szCs w:val="18"/>
                <w:lang w:eastAsia="nb-NO"/>
              </w:rPr>
            </w:pPr>
            <w:r w:rsidRPr="0030270A">
              <w:rPr>
                <w:rFonts w:ascii="Arial" w:eastAsia="Times New Roman" w:hAnsi="Arial" w:cs="Arial"/>
                <w:b/>
                <w:bCs/>
                <w:color w:val="FFFFFF"/>
                <w:sz w:val="18"/>
                <w:szCs w:val="18"/>
                <w:lang w:eastAsia="nb-NO"/>
              </w:rPr>
              <w:t>2013</w:t>
            </w:r>
          </w:p>
        </w:tc>
        <w:tc>
          <w:tcPr>
            <w:tcW w:w="1560" w:type="dxa"/>
            <w:tcBorders>
              <w:top w:val="single" w:sz="4" w:space="0" w:color="A6A6A6"/>
              <w:left w:val="nil"/>
              <w:bottom w:val="single" w:sz="4" w:space="0" w:color="A6A6A6"/>
              <w:right w:val="single" w:sz="4" w:space="0" w:color="A6A6A6"/>
            </w:tcBorders>
            <w:shd w:val="clear" w:color="000000" w:fill="4F81BD"/>
            <w:noWrap/>
            <w:vAlign w:val="center"/>
            <w:hideMark/>
          </w:tcPr>
          <w:p w:rsidR="0030270A" w:rsidRPr="0030270A" w:rsidRDefault="0030270A" w:rsidP="0030270A">
            <w:pPr>
              <w:spacing w:after="0" w:line="240" w:lineRule="auto"/>
              <w:jc w:val="center"/>
              <w:rPr>
                <w:rFonts w:ascii="Arial" w:eastAsia="Times New Roman" w:hAnsi="Arial" w:cs="Arial"/>
                <w:b/>
                <w:bCs/>
                <w:color w:val="FFFFFF"/>
                <w:sz w:val="18"/>
                <w:szCs w:val="18"/>
                <w:lang w:eastAsia="nb-NO"/>
              </w:rPr>
            </w:pPr>
            <w:r w:rsidRPr="0030270A">
              <w:rPr>
                <w:rFonts w:ascii="Arial" w:eastAsia="Times New Roman" w:hAnsi="Arial" w:cs="Arial"/>
                <w:b/>
                <w:bCs/>
                <w:color w:val="FFFFFF"/>
                <w:sz w:val="18"/>
                <w:szCs w:val="18"/>
                <w:lang w:eastAsia="nb-NO"/>
              </w:rPr>
              <w:t>Endring antall</w:t>
            </w:r>
          </w:p>
        </w:tc>
        <w:tc>
          <w:tcPr>
            <w:tcW w:w="1020" w:type="dxa"/>
            <w:tcBorders>
              <w:top w:val="single" w:sz="4" w:space="0" w:color="A6A6A6"/>
              <w:left w:val="nil"/>
              <w:bottom w:val="single" w:sz="4" w:space="0" w:color="A6A6A6"/>
              <w:right w:val="single" w:sz="4" w:space="0" w:color="A6A6A6"/>
            </w:tcBorders>
            <w:shd w:val="clear" w:color="000000" w:fill="4F81BD"/>
            <w:noWrap/>
            <w:vAlign w:val="center"/>
            <w:hideMark/>
          </w:tcPr>
          <w:p w:rsidR="0030270A" w:rsidRPr="0030270A" w:rsidRDefault="0030270A" w:rsidP="0030270A">
            <w:pPr>
              <w:spacing w:after="0" w:line="240" w:lineRule="auto"/>
              <w:jc w:val="center"/>
              <w:rPr>
                <w:rFonts w:ascii="Arial" w:eastAsia="Times New Roman" w:hAnsi="Arial" w:cs="Arial"/>
                <w:b/>
                <w:bCs/>
                <w:color w:val="FFFFFF"/>
                <w:sz w:val="18"/>
                <w:szCs w:val="18"/>
                <w:lang w:eastAsia="nb-NO"/>
              </w:rPr>
            </w:pPr>
            <w:r w:rsidRPr="0030270A">
              <w:rPr>
                <w:rFonts w:ascii="Arial" w:eastAsia="Times New Roman" w:hAnsi="Arial" w:cs="Arial"/>
                <w:b/>
                <w:bCs/>
                <w:color w:val="FFFFFF"/>
                <w:sz w:val="18"/>
                <w:szCs w:val="18"/>
                <w:lang w:eastAsia="nb-NO"/>
              </w:rPr>
              <w:t>Endring %</w:t>
            </w:r>
          </w:p>
        </w:tc>
        <w:tc>
          <w:tcPr>
            <w:tcW w:w="1300" w:type="dxa"/>
            <w:tcBorders>
              <w:top w:val="single" w:sz="4" w:space="0" w:color="A6A6A6"/>
              <w:left w:val="nil"/>
              <w:bottom w:val="single" w:sz="4" w:space="0" w:color="A6A6A6"/>
              <w:right w:val="single" w:sz="4" w:space="0" w:color="A6A6A6"/>
            </w:tcBorders>
            <w:shd w:val="clear" w:color="000000" w:fill="4F81BD"/>
            <w:noWrap/>
            <w:vAlign w:val="center"/>
            <w:hideMark/>
          </w:tcPr>
          <w:p w:rsidR="0030270A" w:rsidRPr="0030270A" w:rsidRDefault="0030270A" w:rsidP="0030270A">
            <w:pPr>
              <w:spacing w:after="0" w:line="240" w:lineRule="auto"/>
              <w:jc w:val="center"/>
              <w:rPr>
                <w:rFonts w:ascii="Arial" w:eastAsia="Times New Roman" w:hAnsi="Arial" w:cs="Arial"/>
                <w:b/>
                <w:bCs/>
                <w:color w:val="FFFFFF"/>
                <w:sz w:val="18"/>
                <w:szCs w:val="18"/>
                <w:lang w:eastAsia="nb-NO"/>
              </w:rPr>
            </w:pPr>
            <w:r w:rsidRPr="0030270A">
              <w:rPr>
                <w:rFonts w:ascii="Arial" w:eastAsia="Times New Roman" w:hAnsi="Arial" w:cs="Arial"/>
                <w:b/>
                <w:bCs/>
                <w:color w:val="FFFFFF"/>
                <w:sz w:val="18"/>
                <w:szCs w:val="18"/>
                <w:lang w:eastAsia="nb-NO"/>
              </w:rPr>
              <w:t>Vekstimpuls</w:t>
            </w:r>
          </w:p>
        </w:tc>
        <w:tc>
          <w:tcPr>
            <w:tcW w:w="1740" w:type="dxa"/>
            <w:tcBorders>
              <w:top w:val="single" w:sz="4" w:space="0" w:color="A6A6A6"/>
              <w:left w:val="nil"/>
              <w:bottom w:val="single" w:sz="4" w:space="0" w:color="A6A6A6"/>
              <w:right w:val="single" w:sz="4" w:space="0" w:color="A6A6A6"/>
            </w:tcBorders>
            <w:shd w:val="clear" w:color="000000" w:fill="4F81BD"/>
            <w:noWrap/>
            <w:vAlign w:val="center"/>
            <w:hideMark/>
          </w:tcPr>
          <w:p w:rsidR="0030270A" w:rsidRPr="0030270A" w:rsidRDefault="0030270A" w:rsidP="0030270A">
            <w:pPr>
              <w:spacing w:after="0" w:line="240" w:lineRule="auto"/>
              <w:jc w:val="center"/>
              <w:rPr>
                <w:rFonts w:ascii="Arial" w:eastAsia="Times New Roman" w:hAnsi="Arial" w:cs="Arial"/>
                <w:b/>
                <w:bCs/>
                <w:color w:val="FFFFFF"/>
                <w:sz w:val="18"/>
                <w:szCs w:val="18"/>
                <w:lang w:eastAsia="nb-NO"/>
              </w:rPr>
            </w:pPr>
            <w:r w:rsidRPr="0030270A">
              <w:rPr>
                <w:rFonts w:ascii="Arial" w:eastAsia="Times New Roman" w:hAnsi="Arial" w:cs="Arial"/>
                <w:b/>
                <w:bCs/>
                <w:color w:val="FFFFFF"/>
                <w:sz w:val="18"/>
                <w:szCs w:val="18"/>
                <w:lang w:eastAsia="nb-NO"/>
              </w:rPr>
              <w:t>Vekstimpuls Norge</w:t>
            </w:r>
          </w:p>
        </w:tc>
      </w:tr>
      <w:tr w:rsidR="0030270A" w:rsidRPr="0030270A" w:rsidTr="001806A4">
        <w:trPr>
          <w:trHeight w:val="227"/>
        </w:trPr>
        <w:tc>
          <w:tcPr>
            <w:tcW w:w="2020" w:type="dxa"/>
            <w:tcBorders>
              <w:top w:val="single" w:sz="4" w:space="0" w:color="A6A6A6"/>
              <w:left w:val="nil"/>
              <w:bottom w:val="single" w:sz="4" w:space="0" w:color="A6A6A6"/>
              <w:right w:val="single" w:sz="4" w:space="0" w:color="A6A6A6"/>
            </w:tcBorders>
            <w:shd w:val="clear" w:color="000000" w:fill="DCE6F1"/>
            <w:noWrap/>
            <w:vAlign w:val="bottom"/>
            <w:hideMark/>
          </w:tcPr>
          <w:p w:rsidR="0030270A" w:rsidRPr="0030270A" w:rsidRDefault="0030270A" w:rsidP="0030270A">
            <w:pPr>
              <w:spacing w:after="0" w:line="240" w:lineRule="auto"/>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 xml:space="preserve">Agentur og </w:t>
            </w:r>
            <w:proofErr w:type="spellStart"/>
            <w:r w:rsidRPr="0030270A">
              <w:rPr>
                <w:rFonts w:ascii="Arial" w:eastAsia="Times New Roman" w:hAnsi="Arial" w:cs="Arial"/>
                <w:color w:val="000000"/>
                <w:sz w:val="18"/>
                <w:szCs w:val="18"/>
                <w:lang w:eastAsia="nb-NO"/>
              </w:rPr>
              <w:t>Engros</w:t>
            </w:r>
            <w:proofErr w:type="spellEnd"/>
          </w:p>
        </w:tc>
        <w:tc>
          <w:tcPr>
            <w:tcW w:w="70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532</w:t>
            </w:r>
          </w:p>
        </w:tc>
        <w:tc>
          <w:tcPr>
            <w:tcW w:w="76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647</w:t>
            </w:r>
          </w:p>
        </w:tc>
        <w:tc>
          <w:tcPr>
            <w:tcW w:w="156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115</w:t>
            </w:r>
          </w:p>
        </w:tc>
        <w:tc>
          <w:tcPr>
            <w:tcW w:w="102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21,6</w:t>
            </w:r>
          </w:p>
        </w:tc>
        <w:tc>
          <w:tcPr>
            <w:tcW w:w="1300" w:type="dxa"/>
            <w:tcBorders>
              <w:top w:val="single" w:sz="4" w:space="0" w:color="A6A6A6"/>
              <w:left w:val="single" w:sz="4" w:space="0" w:color="A6A6A6"/>
              <w:bottom w:val="single" w:sz="4" w:space="0" w:color="A6A6A6"/>
              <w:right w:val="single" w:sz="4" w:space="0" w:color="A6A6A6"/>
            </w:tcBorders>
            <w:shd w:val="clear" w:color="000000" w:fill="FBE6E9"/>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0,5</w:t>
            </w:r>
          </w:p>
        </w:tc>
        <w:tc>
          <w:tcPr>
            <w:tcW w:w="1740" w:type="dxa"/>
            <w:tcBorders>
              <w:top w:val="single" w:sz="4" w:space="0" w:color="A6A6A6"/>
              <w:left w:val="single" w:sz="4" w:space="0" w:color="A6A6A6"/>
              <w:bottom w:val="single" w:sz="4" w:space="0" w:color="A6A6A6"/>
              <w:right w:val="single" w:sz="4" w:space="0" w:color="A6A6A6"/>
            </w:tcBorders>
            <w:shd w:val="clear" w:color="000000" w:fill="FACFD1"/>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0,2</w:t>
            </w:r>
          </w:p>
        </w:tc>
      </w:tr>
      <w:tr w:rsidR="0030270A" w:rsidRPr="0030270A" w:rsidTr="001806A4">
        <w:trPr>
          <w:trHeight w:val="227"/>
        </w:trPr>
        <w:tc>
          <w:tcPr>
            <w:tcW w:w="2020" w:type="dxa"/>
            <w:tcBorders>
              <w:top w:val="nil"/>
              <w:left w:val="nil"/>
              <w:bottom w:val="single" w:sz="4" w:space="0" w:color="A6A6A6"/>
              <w:right w:val="single" w:sz="4" w:space="0" w:color="A6A6A6"/>
            </w:tcBorders>
            <w:shd w:val="clear" w:color="000000" w:fill="DCE6F1"/>
            <w:noWrap/>
            <w:vAlign w:val="bottom"/>
            <w:hideMark/>
          </w:tcPr>
          <w:p w:rsidR="0030270A" w:rsidRPr="0030270A" w:rsidRDefault="0030270A" w:rsidP="0030270A">
            <w:pPr>
              <w:spacing w:after="0" w:line="240" w:lineRule="auto"/>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Bygg og anlegg</w:t>
            </w:r>
          </w:p>
        </w:tc>
        <w:tc>
          <w:tcPr>
            <w:tcW w:w="70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1 362</w:t>
            </w:r>
          </w:p>
        </w:tc>
        <w:tc>
          <w:tcPr>
            <w:tcW w:w="76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1 652</w:t>
            </w:r>
          </w:p>
        </w:tc>
        <w:tc>
          <w:tcPr>
            <w:tcW w:w="156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290</w:t>
            </w:r>
          </w:p>
        </w:tc>
        <w:tc>
          <w:tcPr>
            <w:tcW w:w="102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21,3</w:t>
            </w:r>
          </w:p>
        </w:tc>
        <w:tc>
          <w:tcPr>
            <w:tcW w:w="1300" w:type="dxa"/>
            <w:tcBorders>
              <w:top w:val="single" w:sz="4" w:space="0" w:color="A6A6A6"/>
              <w:left w:val="single" w:sz="4" w:space="0" w:color="A6A6A6"/>
              <w:bottom w:val="single" w:sz="4" w:space="0" w:color="A6A6A6"/>
              <w:right w:val="single" w:sz="4" w:space="0" w:color="A6A6A6"/>
            </w:tcBorders>
            <w:shd w:val="clear" w:color="000000" w:fill="EEF3FB"/>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1,1</w:t>
            </w:r>
          </w:p>
        </w:tc>
        <w:tc>
          <w:tcPr>
            <w:tcW w:w="1740" w:type="dxa"/>
            <w:tcBorders>
              <w:top w:val="single" w:sz="4" w:space="0" w:color="A6A6A6"/>
              <w:left w:val="single" w:sz="4" w:space="0" w:color="A6A6A6"/>
              <w:bottom w:val="single" w:sz="4" w:space="0" w:color="A6A6A6"/>
              <w:right w:val="single" w:sz="4" w:space="0" w:color="A6A6A6"/>
            </w:tcBorders>
            <w:shd w:val="clear" w:color="000000" w:fill="B4CAE6"/>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3,1</w:t>
            </w:r>
          </w:p>
        </w:tc>
      </w:tr>
      <w:tr w:rsidR="0030270A" w:rsidRPr="0030270A" w:rsidTr="001806A4">
        <w:trPr>
          <w:trHeight w:val="227"/>
        </w:trPr>
        <w:tc>
          <w:tcPr>
            <w:tcW w:w="2020" w:type="dxa"/>
            <w:tcBorders>
              <w:top w:val="nil"/>
              <w:left w:val="nil"/>
              <w:bottom w:val="single" w:sz="4" w:space="0" w:color="A6A6A6"/>
              <w:right w:val="single" w:sz="4" w:space="0" w:color="A6A6A6"/>
            </w:tcBorders>
            <w:shd w:val="clear" w:color="000000" w:fill="DCE6F1"/>
            <w:noWrap/>
            <w:vAlign w:val="bottom"/>
            <w:hideMark/>
          </w:tcPr>
          <w:p w:rsidR="0030270A" w:rsidRPr="0030270A" w:rsidRDefault="0030270A" w:rsidP="0030270A">
            <w:pPr>
              <w:spacing w:after="0" w:line="240" w:lineRule="auto"/>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Diverse</w:t>
            </w:r>
          </w:p>
        </w:tc>
        <w:tc>
          <w:tcPr>
            <w:tcW w:w="70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709</w:t>
            </w:r>
          </w:p>
        </w:tc>
        <w:tc>
          <w:tcPr>
            <w:tcW w:w="76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1 066</w:t>
            </w:r>
          </w:p>
        </w:tc>
        <w:tc>
          <w:tcPr>
            <w:tcW w:w="156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357</w:t>
            </w:r>
          </w:p>
        </w:tc>
        <w:tc>
          <w:tcPr>
            <w:tcW w:w="102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50,4</w:t>
            </w:r>
          </w:p>
        </w:tc>
        <w:tc>
          <w:tcPr>
            <w:tcW w:w="1300" w:type="dxa"/>
            <w:tcBorders>
              <w:top w:val="single" w:sz="4" w:space="0" w:color="A6A6A6"/>
              <w:left w:val="single" w:sz="4" w:space="0" w:color="A6A6A6"/>
              <w:bottom w:val="single" w:sz="4" w:space="0" w:color="A6A6A6"/>
              <w:right w:val="single" w:sz="4" w:space="0" w:color="A6A6A6"/>
            </w:tcBorders>
            <w:shd w:val="clear" w:color="000000" w:fill="E7EDF8"/>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1,4</w:t>
            </w:r>
          </w:p>
        </w:tc>
        <w:tc>
          <w:tcPr>
            <w:tcW w:w="1740" w:type="dxa"/>
            <w:tcBorders>
              <w:top w:val="single" w:sz="4" w:space="0" w:color="A6A6A6"/>
              <w:left w:val="single" w:sz="4" w:space="0" w:color="A6A6A6"/>
              <w:bottom w:val="single" w:sz="4" w:space="0" w:color="A6A6A6"/>
              <w:right w:val="single" w:sz="4" w:space="0" w:color="A6A6A6"/>
            </w:tcBorders>
            <w:shd w:val="clear" w:color="000000" w:fill="F0F3FB"/>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1,1</w:t>
            </w:r>
          </w:p>
        </w:tc>
      </w:tr>
      <w:tr w:rsidR="0030270A" w:rsidRPr="0030270A" w:rsidTr="001806A4">
        <w:trPr>
          <w:trHeight w:val="227"/>
        </w:trPr>
        <w:tc>
          <w:tcPr>
            <w:tcW w:w="2020" w:type="dxa"/>
            <w:tcBorders>
              <w:top w:val="nil"/>
              <w:left w:val="nil"/>
              <w:bottom w:val="single" w:sz="4" w:space="0" w:color="A6A6A6"/>
              <w:right w:val="single" w:sz="4" w:space="0" w:color="A6A6A6"/>
            </w:tcBorders>
            <w:shd w:val="clear" w:color="000000" w:fill="DCE6F1"/>
            <w:noWrap/>
            <w:vAlign w:val="bottom"/>
            <w:hideMark/>
          </w:tcPr>
          <w:p w:rsidR="0030270A" w:rsidRPr="0030270A" w:rsidRDefault="0030270A" w:rsidP="0030270A">
            <w:pPr>
              <w:spacing w:after="0" w:line="240" w:lineRule="auto"/>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Finans, eiendom, ut</w:t>
            </w:r>
            <w:r w:rsidR="00571E21">
              <w:rPr>
                <w:rFonts w:ascii="Arial" w:eastAsia="Times New Roman" w:hAnsi="Arial" w:cs="Arial"/>
                <w:color w:val="000000"/>
                <w:sz w:val="18"/>
                <w:szCs w:val="18"/>
                <w:lang w:eastAsia="nb-NO"/>
              </w:rPr>
              <w:t>l</w:t>
            </w:r>
            <w:r w:rsidRPr="0030270A">
              <w:rPr>
                <w:rFonts w:ascii="Arial" w:eastAsia="Times New Roman" w:hAnsi="Arial" w:cs="Arial"/>
                <w:color w:val="000000"/>
                <w:sz w:val="18"/>
                <w:szCs w:val="18"/>
                <w:lang w:eastAsia="nb-NO"/>
              </w:rPr>
              <w:t>eie</w:t>
            </w:r>
          </w:p>
        </w:tc>
        <w:tc>
          <w:tcPr>
            <w:tcW w:w="70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398</w:t>
            </w:r>
          </w:p>
        </w:tc>
        <w:tc>
          <w:tcPr>
            <w:tcW w:w="76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440</w:t>
            </w:r>
          </w:p>
        </w:tc>
        <w:tc>
          <w:tcPr>
            <w:tcW w:w="156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42</w:t>
            </w:r>
          </w:p>
        </w:tc>
        <w:tc>
          <w:tcPr>
            <w:tcW w:w="102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10,6</w:t>
            </w:r>
          </w:p>
        </w:tc>
        <w:tc>
          <w:tcPr>
            <w:tcW w:w="1300" w:type="dxa"/>
            <w:tcBorders>
              <w:top w:val="single" w:sz="4" w:space="0" w:color="A6A6A6"/>
              <w:left w:val="single" w:sz="4" w:space="0" w:color="A6A6A6"/>
              <w:bottom w:val="single" w:sz="4" w:space="0" w:color="A6A6A6"/>
              <w:right w:val="single" w:sz="4" w:space="0" w:color="A6A6A6"/>
            </w:tcBorders>
            <w:shd w:val="clear" w:color="000000" w:fill="FAC9CC"/>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0,2</w:t>
            </w:r>
          </w:p>
        </w:tc>
        <w:tc>
          <w:tcPr>
            <w:tcW w:w="1740" w:type="dxa"/>
            <w:tcBorders>
              <w:top w:val="single" w:sz="4" w:space="0" w:color="A6A6A6"/>
              <w:left w:val="single" w:sz="4" w:space="0" w:color="A6A6A6"/>
              <w:bottom w:val="single" w:sz="4" w:space="0" w:color="A6A6A6"/>
              <w:right w:val="single" w:sz="4" w:space="0" w:color="A6A6A6"/>
            </w:tcBorders>
            <w:shd w:val="clear" w:color="000000" w:fill="FBDADD"/>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0,3</w:t>
            </w:r>
          </w:p>
        </w:tc>
      </w:tr>
      <w:tr w:rsidR="0030270A" w:rsidRPr="0030270A" w:rsidTr="001806A4">
        <w:trPr>
          <w:trHeight w:val="227"/>
        </w:trPr>
        <w:tc>
          <w:tcPr>
            <w:tcW w:w="2020" w:type="dxa"/>
            <w:tcBorders>
              <w:top w:val="nil"/>
              <w:left w:val="nil"/>
              <w:bottom w:val="single" w:sz="4" w:space="0" w:color="A6A6A6"/>
              <w:right w:val="single" w:sz="4" w:space="0" w:color="A6A6A6"/>
            </w:tcBorders>
            <w:shd w:val="clear" w:color="000000" w:fill="DCE6F1"/>
            <w:noWrap/>
            <w:vAlign w:val="bottom"/>
            <w:hideMark/>
          </w:tcPr>
          <w:p w:rsidR="0030270A" w:rsidRPr="0030270A" w:rsidRDefault="0030270A" w:rsidP="0030270A">
            <w:pPr>
              <w:spacing w:after="0" w:line="240" w:lineRule="auto"/>
              <w:rPr>
                <w:rFonts w:ascii="Arial" w:eastAsia="Times New Roman" w:hAnsi="Arial" w:cs="Arial"/>
                <w:color w:val="000000"/>
                <w:sz w:val="18"/>
                <w:szCs w:val="18"/>
                <w:lang w:eastAsia="nb-NO"/>
              </w:rPr>
            </w:pPr>
            <w:proofErr w:type="spellStart"/>
            <w:r w:rsidRPr="0030270A">
              <w:rPr>
                <w:rFonts w:ascii="Arial" w:eastAsia="Times New Roman" w:hAnsi="Arial" w:cs="Arial"/>
                <w:color w:val="000000"/>
                <w:sz w:val="18"/>
                <w:szCs w:val="18"/>
                <w:lang w:eastAsia="nb-NO"/>
              </w:rPr>
              <w:t>Forr</w:t>
            </w:r>
            <w:proofErr w:type="spellEnd"/>
            <w:r w:rsidR="00CD4265">
              <w:rPr>
                <w:rFonts w:ascii="Arial" w:eastAsia="Times New Roman" w:hAnsi="Arial" w:cs="Arial"/>
                <w:color w:val="000000"/>
                <w:sz w:val="18"/>
                <w:szCs w:val="18"/>
                <w:lang w:eastAsia="nb-NO"/>
              </w:rPr>
              <w:t>.</w:t>
            </w:r>
            <w:r w:rsidRPr="0030270A">
              <w:rPr>
                <w:rFonts w:ascii="Arial" w:eastAsia="Times New Roman" w:hAnsi="Arial" w:cs="Arial"/>
                <w:color w:val="000000"/>
                <w:sz w:val="18"/>
                <w:szCs w:val="18"/>
                <w:lang w:eastAsia="nb-NO"/>
              </w:rPr>
              <w:t xml:space="preserve"> tjenesteyting</w:t>
            </w:r>
          </w:p>
        </w:tc>
        <w:tc>
          <w:tcPr>
            <w:tcW w:w="70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472</w:t>
            </w:r>
          </w:p>
        </w:tc>
        <w:tc>
          <w:tcPr>
            <w:tcW w:w="76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652</w:t>
            </w:r>
          </w:p>
        </w:tc>
        <w:tc>
          <w:tcPr>
            <w:tcW w:w="156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180</w:t>
            </w:r>
          </w:p>
        </w:tc>
        <w:tc>
          <w:tcPr>
            <w:tcW w:w="102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38,1</w:t>
            </w:r>
          </w:p>
        </w:tc>
        <w:tc>
          <w:tcPr>
            <w:tcW w:w="1300" w:type="dxa"/>
            <w:tcBorders>
              <w:top w:val="single" w:sz="4" w:space="0" w:color="A6A6A6"/>
              <w:left w:val="single" w:sz="4" w:space="0" w:color="A6A6A6"/>
              <w:bottom w:val="single" w:sz="4" w:space="0" w:color="A6A6A6"/>
              <w:right w:val="single" w:sz="4" w:space="0" w:color="A6A6A6"/>
            </w:tcBorders>
            <w:shd w:val="clear" w:color="000000" w:fill="FBFCFF"/>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0,7</w:t>
            </w:r>
          </w:p>
        </w:tc>
        <w:tc>
          <w:tcPr>
            <w:tcW w:w="1740" w:type="dxa"/>
            <w:tcBorders>
              <w:top w:val="single" w:sz="4" w:space="0" w:color="A6A6A6"/>
              <w:left w:val="single" w:sz="4" w:space="0" w:color="A6A6A6"/>
              <w:bottom w:val="single" w:sz="4" w:space="0" w:color="A6A6A6"/>
              <w:right w:val="single" w:sz="4" w:space="0" w:color="A6A6A6"/>
            </w:tcBorders>
            <w:shd w:val="clear" w:color="000000" w:fill="E4EBF7"/>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1,5</w:t>
            </w:r>
          </w:p>
        </w:tc>
      </w:tr>
      <w:tr w:rsidR="0030270A" w:rsidRPr="0030270A" w:rsidTr="001806A4">
        <w:trPr>
          <w:trHeight w:val="227"/>
        </w:trPr>
        <w:tc>
          <w:tcPr>
            <w:tcW w:w="2020" w:type="dxa"/>
            <w:tcBorders>
              <w:top w:val="nil"/>
              <w:left w:val="nil"/>
              <w:bottom w:val="single" w:sz="4" w:space="0" w:color="A6A6A6"/>
              <w:right w:val="single" w:sz="4" w:space="0" w:color="A6A6A6"/>
            </w:tcBorders>
            <w:shd w:val="clear" w:color="000000" w:fill="DCE6F1"/>
            <w:noWrap/>
            <w:vAlign w:val="bottom"/>
            <w:hideMark/>
          </w:tcPr>
          <w:p w:rsidR="0030270A" w:rsidRPr="0030270A" w:rsidRDefault="0030270A" w:rsidP="0030270A">
            <w:pPr>
              <w:spacing w:after="0" w:line="240" w:lineRule="auto"/>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Transport</w:t>
            </w:r>
          </w:p>
        </w:tc>
        <w:tc>
          <w:tcPr>
            <w:tcW w:w="70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1 031</w:t>
            </w:r>
          </w:p>
        </w:tc>
        <w:tc>
          <w:tcPr>
            <w:tcW w:w="76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824</w:t>
            </w:r>
          </w:p>
        </w:tc>
        <w:tc>
          <w:tcPr>
            <w:tcW w:w="156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-207</w:t>
            </w:r>
          </w:p>
        </w:tc>
        <w:tc>
          <w:tcPr>
            <w:tcW w:w="102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-20,1</w:t>
            </w:r>
          </w:p>
        </w:tc>
        <w:tc>
          <w:tcPr>
            <w:tcW w:w="1300" w:type="dxa"/>
            <w:tcBorders>
              <w:top w:val="single" w:sz="4" w:space="0" w:color="A6A6A6"/>
              <w:left w:val="single" w:sz="4" w:space="0" w:color="A6A6A6"/>
              <w:bottom w:val="single" w:sz="4" w:space="0" w:color="A6A6A6"/>
              <w:right w:val="single" w:sz="4" w:space="0" w:color="A6A6A6"/>
            </w:tcBorders>
            <w:shd w:val="clear" w:color="000000" w:fill="F8696B"/>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-0,8</w:t>
            </w:r>
          </w:p>
        </w:tc>
        <w:tc>
          <w:tcPr>
            <w:tcW w:w="1740" w:type="dxa"/>
            <w:tcBorders>
              <w:top w:val="single" w:sz="4" w:space="0" w:color="A6A6A6"/>
              <w:left w:val="single" w:sz="4" w:space="0" w:color="A6A6A6"/>
              <w:bottom w:val="single" w:sz="4" w:space="0" w:color="A6A6A6"/>
              <w:right w:val="single" w:sz="4" w:space="0" w:color="A6A6A6"/>
            </w:tcBorders>
            <w:shd w:val="clear" w:color="000000" w:fill="F86E70"/>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-0,8</w:t>
            </w:r>
          </w:p>
        </w:tc>
      </w:tr>
      <w:tr w:rsidR="0030270A" w:rsidRPr="0030270A" w:rsidTr="001806A4">
        <w:trPr>
          <w:trHeight w:val="227"/>
        </w:trPr>
        <w:tc>
          <w:tcPr>
            <w:tcW w:w="2020" w:type="dxa"/>
            <w:tcBorders>
              <w:top w:val="nil"/>
              <w:left w:val="nil"/>
              <w:bottom w:val="single" w:sz="4" w:space="0" w:color="A6A6A6"/>
              <w:right w:val="single" w:sz="4" w:space="0" w:color="A6A6A6"/>
            </w:tcBorders>
            <w:shd w:val="clear" w:color="000000" w:fill="DCE6F1"/>
            <w:noWrap/>
            <w:vAlign w:val="bottom"/>
            <w:hideMark/>
          </w:tcPr>
          <w:p w:rsidR="0030270A" w:rsidRPr="0030270A" w:rsidRDefault="0030270A" w:rsidP="0030270A">
            <w:pPr>
              <w:spacing w:after="0" w:line="240" w:lineRule="auto"/>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Utleie av arbeidskraft</w:t>
            </w:r>
          </w:p>
        </w:tc>
        <w:tc>
          <w:tcPr>
            <w:tcW w:w="70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73</w:t>
            </w:r>
          </w:p>
        </w:tc>
        <w:tc>
          <w:tcPr>
            <w:tcW w:w="760" w:type="dxa"/>
            <w:tcBorders>
              <w:top w:val="nil"/>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235</w:t>
            </w:r>
          </w:p>
        </w:tc>
        <w:tc>
          <w:tcPr>
            <w:tcW w:w="1560" w:type="dxa"/>
            <w:tcBorders>
              <w:top w:val="nil"/>
              <w:left w:val="nil"/>
              <w:bottom w:val="nil"/>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162</w:t>
            </w:r>
          </w:p>
        </w:tc>
        <w:tc>
          <w:tcPr>
            <w:tcW w:w="1020" w:type="dxa"/>
            <w:tcBorders>
              <w:top w:val="nil"/>
              <w:left w:val="nil"/>
              <w:bottom w:val="nil"/>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221,9</w:t>
            </w:r>
          </w:p>
        </w:tc>
        <w:tc>
          <w:tcPr>
            <w:tcW w:w="1300" w:type="dxa"/>
            <w:tcBorders>
              <w:top w:val="single" w:sz="4" w:space="0" w:color="A6A6A6"/>
              <w:left w:val="single" w:sz="4" w:space="0" w:color="A6A6A6"/>
              <w:bottom w:val="nil"/>
              <w:right w:val="single" w:sz="4" w:space="0" w:color="A6A6A6"/>
            </w:tcBorders>
            <w:shd w:val="clear" w:color="000000" w:fill="FBF8FB"/>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0,6</w:t>
            </w:r>
          </w:p>
        </w:tc>
        <w:tc>
          <w:tcPr>
            <w:tcW w:w="1740" w:type="dxa"/>
            <w:tcBorders>
              <w:top w:val="single" w:sz="4" w:space="0" w:color="A6A6A6"/>
              <w:left w:val="single" w:sz="4" w:space="0" w:color="A6A6A6"/>
              <w:bottom w:val="nil"/>
              <w:right w:val="single" w:sz="4" w:space="0" w:color="A6A6A6"/>
            </w:tcBorders>
            <w:shd w:val="clear" w:color="000000" w:fill="FBF6F9"/>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0,6</w:t>
            </w:r>
          </w:p>
        </w:tc>
      </w:tr>
      <w:tr w:rsidR="0030270A" w:rsidRPr="0030270A" w:rsidTr="001806A4">
        <w:trPr>
          <w:trHeight w:val="227"/>
        </w:trPr>
        <w:tc>
          <w:tcPr>
            <w:tcW w:w="2020" w:type="dxa"/>
            <w:tcBorders>
              <w:top w:val="single" w:sz="4" w:space="0" w:color="auto"/>
              <w:left w:val="single" w:sz="4" w:space="0" w:color="A6A6A6"/>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rPr>
                <w:rFonts w:ascii="Arial" w:eastAsia="Times New Roman" w:hAnsi="Arial" w:cs="Arial"/>
                <w:b/>
                <w:bCs/>
                <w:color w:val="000000"/>
                <w:sz w:val="18"/>
                <w:szCs w:val="18"/>
                <w:lang w:eastAsia="nb-NO"/>
              </w:rPr>
            </w:pPr>
            <w:r w:rsidRPr="0030270A">
              <w:rPr>
                <w:rFonts w:ascii="Arial" w:eastAsia="Times New Roman" w:hAnsi="Arial" w:cs="Arial"/>
                <w:b/>
                <w:bCs/>
                <w:color w:val="000000"/>
                <w:sz w:val="18"/>
                <w:szCs w:val="18"/>
                <w:lang w:eastAsia="nb-NO"/>
              </w:rPr>
              <w:t> </w:t>
            </w:r>
            <w:r>
              <w:rPr>
                <w:rFonts w:ascii="Arial" w:eastAsia="Times New Roman" w:hAnsi="Arial" w:cs="Arial"/>
                <w:b/>
                <w:bCs/>
                <w:color w:val="000000"/>
                <w:sz w:val="18"/>
                <w:szCs w:val="18"/>
                <w:lang w:eastAsia="nb-NO"/>
              </w:rPr>
              <w:t>SUM</w:t>
            </w:r>
          </w:p>
        </w:tc>
        <w:tc>
          <w:tcPr>
            <w:tcW w:w="700" w:type="dxa"/>
            <w:tcBorders>
              <w:top w:val="single" w:sz="4" w:space="0" w:color="auto"/>
              <w:left w:val="single" w:sz="4" w:space="0" w:color="A6A6A6"/>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b/>
                <w:bCs/>
                <w:color w:val="000000"/>
                <w:sz w:val="18"/>
                <w:szCs w:val="18"/>
                <w:lang w:eastAsia="nb-NO"/>
              </w:rPr>
            </w:pPr>
            <w:r w:rsidRPr="0030270A">
              <w:rPr>
                <w:rFonts w:ascii="Arial" w:eastAsia="Times New Roman" w:hAnsi="Arial" w:cs="Arial"/>
                <w:b/>
                <w:bCs/>
                <w:color w:val="000000"/>
                <w:sz w:val="18"/>
                <w:szCs w:val="18"/>
                <w:lang w:eastAsia="nb-NO"/>
              </w:rPr>
              <w:t>4 577</w:t>
            </w:r>
          </w:p>
        </w:tc>
        <w:tc>
          <w:tcPr>
            <w:tcW w:w="760" w:type="dxa"/>
            <w:tcBorders>
              <w:top w:val="single" w:sz="4" w:space="0" w:color="auto"/>
              <w:left w:val="single" w:sz="4" w:space="0" w:color="A6A6A6"/>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b/>
                <w:bCs/>
                <w:color w:val="000000"/>
                <w:sz w:val="18"/>
                <w:szCs w:val="18"/>
                <w:lang w:eastAsia="nb-NO"/>
              </w:rPr>
            </w:pPr>
            <w:r w:rsidRPr="0030270A">
              <w:rPr>
                <w:rFonts w:ascii="Arial" w:eastAsia="Times New Roman" w:hAnsi="Arial" w:cs="Arial"/>
                <w:b/>
                <w:bCs/>
                <w:color w:val="000000"/>
                <w:sz w:val="18"/>
                <w:szCs w:val="18"/>
                <w:lang w:eastAsia="nb-NO"/>
              </w:rPr>
              <w:t>5 516</w:t>
            </w:r>
          </w:p>
        </w:tc>
        <w:tc>
          <w:tcPr>
            <w:tcW w:w="1560" w:type="dxa"/>
            <w:tcBorders>
              <w:top w:val="single" w:sz="4" w:space="0" w:color="auto"/>
              <w:left w:val="nil"/>
              <w:bottom w:val="nil"/>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939</w:t>
            </w:r>
          </w:p>
        </w:tc>
        <w:tc>
          <w:tcPr>
            <w:tcW w:w="1020" w:type="dxa"/>
            <w:tcBorders>
              <w:top w:val="single" w:sz="4" w:space="0" w:color="auto"/>
              <w:left w:val="nil"/>
              <w:bottom w:val="nil"/>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20,5</w:t>
            </w:r>
          </w:p>
        </w:tc>
        <w:tc>
          <w:tcPr>
            <w:tcW w:w="1300" w:type="dxa"/>
            <w:tcBorders>
              <w:top w:val="single" w:sz="4" w:space="0" w:color="auto"/>
              <w:left w:val="single" w:sz="4" w:space="0" w:color="A6A6A6"/>
              <w:bottom w:val="nil"/>
              <w:right w:val="single" w:sz="4" w:space="0" w:color="A6A6A6"/>
            </w:tcBorders>
            <w:shd w:val="clear" w:color="000000" w:fill="A2BDE0"/>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3,7</w:t>
            </w:r>
          </w:p>
        </w:tc>
        <w:tc>
          <w:tcPr>
            <w:tcW w:w="1740" w:type="dxa"/>
            <w:tcBorders>
              <w:top w:val="single" w:sz="4" w:space="0" w:color="auto"/>
              <w:left w:val="single" w:sz="4" w:space="0" w:color="A6A6A6"/>
              <w:bottom w:val="nil"/>
              <w:right w:val="single" w:sz="4" w:space="0" w:color="A6A6A6"/>
            </w:tcBorders>
            <w:shd w:val="clear" w:color="000000" w:fill="5A8AC6"/>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6,1</w:t>
            </w:r>
          </w:p>
        </w:tc>
      </w:tr>
      <w:tr w:rsidR="0030270A" w:rsidRPr="0030270A" w:rsidTr="001806A4">
        <w:trPr>
          <w:trHeight w:val="227"/>
        </w:trPr>
        <w:tc>
          <w:tcPr>
            <w:tcW w:w="2020" w:type="dxa"/>
            <w:tcBorders>
              <w:top w:val="single" w:sz="4" w:space="0" w:color="auto"/>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 Sysselsatte</w:t>
            </w:r>
          </w:p>
        </w:tc>
        <w:tc>
          <w:tcPr>
            <w:tcW w:w="700" w:type="dxa"/>
            <w:tcBorders>
              <w:top w:val="single" w:sz="4" w:space="0" w:color="auto"/>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25 531</w:t>
            </w:r>
          </w:p>
        </w:tc>
        <w:tc>
          <w:tcPr>
            <w:tcW w:w="760" w:type="dxa"/>
            <w:tcBorders>
              <w:top w:val="single" w:sz="4" w:space="0" w:color="auto"/>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24 178</w:t>
            </w:r>
          </w:p>
        </w:tc>
        <w:tc>
          <w:tcPr>
            <w:tcW w:w="1560" w:type="dxa"/>
            <w:tcBorders>
              <w:top w:val="single" w:sz="4" w:space="0" w:color="auto"/>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-1 353</w:t>
            </w:r>
          </w:p>
        </w:tc>
        <w:tc>
          <w:tcPr>
            <w:tcW w:w="1020" w:type="dxa"/>
            <w:tcBorders>
              <w:top w:val="single" w:sz="4" w:space="0" w:color="auto"/>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-5,3</w:t>
            </w:r>
          </w:p>
        </w:tc>
        <w:tc>
          <w:tcPr>
            <w:tcW w:w="1300" w:type="dxa"/>
            <w:tcBorders>
              <w:top w:val="single" w:sz="4" w:space="0" w:color="auto"/>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 </w:t>
            </w:r>
          </w:p>
        </w:tc>
        <w:tc>
          <w:tcPr>
            <w:tcW w:w="1740" w:type="dxa"/>
            <w:tcBorders>
              <w:top w:val="single" w:sz="4" w:space="0" w:color="auto"/>
              <w:left w:val="nil"/>
              <w:bottom w:val="single" w:sz="4" w:space="0" w:color="A6A6A6"/>
              <w:right w:val="single" w:sz="4" w:space="0" w:color="A6A6A6"/>
            </w:tcBorders>
            <w:shd w:val="clear" w:color="auto" w:fill="auto"/>
            <w:noWrap/>
            <w:vAlign w:val="bottom"/>
            <w:hideMark/>
          </w:tcPr>
          <w:p w:rsidR="0030270A" w:rsidRPr="0030270A" w:rsidRDefault="0030270A" w:rsidP="0030270A">
            <w:pPr>
              <w:spacing w:after="0" w:line="240" w:lineRule="auto"/>
              <w:jc w:val="center"/>
              <w:rPr>
                <w:rFonts w:ascii="Arial" w:eastAsia="Times New Roman" w:hAnsi="Arial" w:cs="Arial"/>
                <w:color w:val="000000"/>
                <w:sz w:val="18"/>
                <w:szCs w:val="18"/>
                <w:lang w:eastAsia="nb-NO"/>
              </w:rPr>
            </w:pPr>
            <w:r w:rsidRPr="0030270A">
              <w:rPr>
                <w:rFonts w:ascii="Arial" w:eastAsia="Times New Roman" w:hAnsi="Arial" w:cs="Arial"/>
                <w:color w:val="000000"/>
                <w:sz w:val="18"/>
                <w:szCs w:val="18"/>
                <w:lang w:eastAsia="nb-NO"/>
              </w:rPr>
              <w:t> </w:t>
            </w:r>
          </w:p>
        </w:tc>
      </w:tr>
    </w:tbl>
    <w:p w:rsidR="0030270A" w:rsidRPr="0030270A" w:rsidRDefault="0030270A" w:rsidP="0030270A"/>
    <w:p w:rsidR="00BB0881" w:rsidRDefault="00CD2180" w:rsidP="00870CF9">
      <w:r>
        <w:t xml:space="preserve">Det har blitt skapt 939 arbeidsplasser i de regionale næringene i </w:t>
      </w:r>
      <w:proofErr w:type="spellStart"/>
      <w:r>
        <w:t>Glåmdal</w:t>
      </w:r>
      <w:proofErr w:type="spellEnd"/>
      <w:r>
        <w:t xml:space="preserve"> fra 2000 til 2013. Denne veksten har tilsvart 3,7 prosent av sysselsettingen. </w:t>
      </w:r>
      <w:r w:rsidR="005807E1">
        <w:t xml:space="preserve">De regionale næringene har dermed bidratt til vekst på stedet, i motsetning til hva basis- og besøksnæringene har gjort. </w:t>
      </w:r>
    </w:p>
    <w:p w:rsidR="005807E1" w:rsidRDefault="0029522F" w:rsidP="00870CF9">
      <w:r>
        <w:t xml:space="preserve">Antall arbeidsplasser innen bygg og anlegg og innen </w:t>
      </w:r>
      <w:proofErr w:type="spellStart"/>
      <w:r>
        <w:t>diverse-kategorien</w:t>
      </w:r>
      <w:proofErr w:type="spellEnd"/>
      <w:r>
        <w:t xml:space="preserve"> har bidratt mest til vekstimpulsene. </w:t>
      </w:r>
      <w:proofErr w:type="spellStart"/>
      <w:r>
        <w:t>Diverse-kategorien</w:t>
      </w:r>
      <w:proofErr w:type="spellEnd"/>
      <w:r>
        <w:t xml:space="preserve"> inkluderer frivillige organisasjoner, arbeidstaker- og arbeidsgiverorganisasjoner, trafikkskoler m.m. </w:t>
      </w:r>
    </w:p>
    <w:p w:rsidR="00DC1B40" w:rsidRDefault="00DC1B40" w:rsidP="00870CF9">
      <w:r>
        <w:t xml:space="preserve">I transportbransjen har det mitt 207 færre arbeidsplasser siden 2000. Nedgangen har tilsvart 0,8 prosent av sysselsettingen, en nedgang som er lik som nedgangen nasjonalt. </w:t>
      </w:r>
    </w:p>
    <w:p w:rsidR="00DC1B40" w:rsidRDefault="00B81E89" w:rsidP="00870CF9">
      <w:r>
        <w:t xml:space="preserve">Selv om det har vært vekst i alle bransjer unntatt transportbransjen i </w:t>
      </w:r>
      <w:proofErr w:type="spellStart"/>
      <w:r>
        <w:t>Glåmdal</w:t>
      </w:r>
      <w:proofErr w:type="spellEnd"/>
      <w:r>
        <w:t xml:space="preserve">, har ikke vekstimpulsene fra de regionale næringene vært like høy i </w:t>
      </w:r>
      <w:proofErr w:type="spellStart"/>
      <w:r>
        <w:t>Glåmdal</w:t>
      </w:r>
      <w:proofErr w:type="spellEnd"/>
      <w:r>
        <w:t xml:space="preserve"> som på landsbasis. </w:t>
      </w:r>
    </w:p>
    <w:p w:rsidR="00BB0881" w:rsidRDefault="00BB0881" w:rsidP="00870CF9"/>
    <w:p w:rsidR="00E01144" w:rsidRDefault="00E01144" w:rsidP="00E01144">
      <w:r>
        <w:br w:type="page"/>
      </w:r>
    </w:p>
    <w:p w:rsidR="00792C55" w:rsidRDefault="00792C55" w:rsidP="007D4DFB">
      <w:pPr>
        <w:sectPr w:rsidR="00792C55" w:rsidSect="00687F25">
          <w:type w:val="continuous"/>
          <w:pgSz w:w="11907" w:h="16840" w:code="9"/>
          <w:pgMar w:top="1440" w:right="1080" w:bottom="1440" w:left="1080" w:header="709" w:footer="709" w:gutter="0"/>
          <w:cols w:space="708"/>
          <w:docGrid w:linePitch="360"/>
        </w:sectPr>
      </w:pPr>
    </w:p>
    <w:p w:rsidR="00EA123F" w:rsidRDefault="007A6691" w:rsidP="007A6691">
      <w:pPr>
        <w:pStyle w:val="Overskrift3"/>
      </w:pPr>
      <w:bookmarkStart w:id="40" w:name="_Toc400090068"/>
      <w:r>
        <w:lastRenderedPageBreak/>
        <w:t>N</w:t>
      </w:r>
      <w:r w:rsidR="004C4A5A">
        <w:t xml:space="preserve">ivå </w:t>
      </w:r>
      <w:bookmarkEnd w:id="40"/>
    </w:p>
    <w:p w:rsidR="004A5B06" w:rsidRDefault="00861EC7" w:rsidP="003B0EE1">
      <w:r>
        <w:t xml:space="preserve">De regionale næringene har en tendens til å klumpe seg i byer og regionale sentra. Det er spesielt forretningsmessig tjenesteyting, finans, eiendom og utleie og agentur og </w:t>
      </w:r>
      <w:proofErr w:type="spellStart"/>
      <w:r>
        <w:t>engros</w:t>
      </w:r>
      <w:proofErr w:type="spellEnd"/>
      <w:r>
        <w:t xml:space="preserve"> som er typiske </w:t>
      </w:r>
      <w:proofErr w:type="spellStart"/>
      <w:r>
        <w:t>bynæringer</w:t>
      </w:r>
      <w:proofErr w:type="spellEnd"/>
      <w:r>
        <w:t>. Bygg og anlegg og transport er bransjer som er godt spredt utover landet.</w:t>
      </w:r>
      <w:r w:rsidR="004A5B06">
        <w:t xml:space="preserve"> Derfor er det ingen overraskelse at Hamar har høyest konsentrasjon av regionale næringer blant kommunene i Hedmark. </w:t>
      </w:r>
      <w:r w:rsidR="00810CB7">
        <w:t xml:space="preserve">Kongsvinger er kommunen i </w:t>
      </w:r>
      <w:proofErr w:type="spellStart"/>
      <w:r w:rsidR="00810CB7">
        <w:t>Glåmdal</w:t>
      </w:r>
      <w:proofErr w:type="spellEnd"/>
      <w:r w:rsidR="00810CB7">
        <w:t xml:space="preserve"> med høyest konsentrasjon av de regionale næringene. </w:t>
      </w:r>
      <w:r w:rsidR="002A4870">
        <w:t xml:space="preserve">Kongsvinger har også en høy andel på landsbasis. </w:t>
      </w:r>
    </w:p>
    <w:p w:rsidR="00694735" w:rsidRDefault="00694735" w:rsidP="003B0EE1"/>
    <w:p w:rsidR="00694735" w:rsidRDefault="00694735" w:rsidP="003B0EE1"/>
    <w:p w:rsidR="00862BCF" w:rsidRDefault="00174068" w:rsidP="003B0EE1">
      <w:r>
        <w:t xml:space="preserve"> </w:t>
      </w:r>
    </w:p>
    <w:p w:rsidR="00CD5BFF" w:rsidRDefault="00CD5BFF" w:rsidP="003B0EE1"/>
    <w:p w:rsidR="00CD5BFF" w:rsidRDefault="00CD5BFF" w:rsidP="003B0EE1"/>
    <w:p w:rsidR="00CD5BFF" w:rsidRDefault="00CD5BFF" w:rsidP="003B0EE1"/>
    <w:p w:rsidR="00923335" w:rsidRDefault="00923335" w:rsidP="003B0EE1"/>
    <w:p w:rsidR="00862BCF" w:rsidRDefault="00862BCF" w:rsidP="00862BCF">
      <w:pPr>
        <w:pStyle w:val="Overskrift3"/>
      </w:pPr>
      <w:r>
        <w:t>Vekstimpulser</w:t>
      </w:r>
    </w:p>
    <w:p w:rsidR="00862BCF" w:rsidRDefault="00862BCF" w:rsidP="003B0EE1">
      <w:r>
        <w:t xml:space="preserve">De regionale næringenes bidrag til vekst i sysselsettingen er vist i figuren til høyre. </w:t>
      </w:r>
    </w:p>
    <w:p w:rsidR="00690B77" w:rsidRDefault="00862BCF" w:rsidP="003B0EE1">
      <w:r>
        <w:t xml:space="preserve">Fra 2000 til 2013 har Eidskog fått positive vekstimpulser fra de regionale næringene. Veksten i antall arbeidsplasser har tilsvart om lag 7 prosent av </w:t>
      </w:r>
      <w:r w:rsidR="00C77709">
        <w:t>sysselsettingen</w:t>
      </w:r>
      <w:r>
        <w:t>.</w:t>
      </w:r>
      <w:r w:rsidR="005F37D7">
        <w:t xml:space="preserve"> </w:t>
      </w:r>
    </w:p>
    <w:p w:rsidR="00862BCF" w:rsidRDefault="00690B77" w:rsidP="003B0EE1">
      <w:r>
        <w:t xml:space="preserve">Også i Åsnes har arbeidsplassveksten i de regionale næringene tilsvart en forholdsvis høy del av sysselsettingen. </w:t>
      </w:r>
    </w:p>
    <w:p w:rsidR="00923335" w:rsidRDefault="00923335" w:rsidP="003B0EE1">
      <w:r>
        <w:t xml:space="preserve">De fleste kommunene i Hedmark har fått positive vekstimpulser fra de regionale næringene. På mange steder har bygg- og anleggsbransjen bidratt positivt, mens transportbransjen har bidratt negativt. </w:t>
      </w:r>
    </w:p>
    <w:p w:rsidR="004C4A5A" w:rsidRDefault="004C4A5A" w:rsidP="003B0EE1">
      <w:r>
        <w:br w:type="column"/>
      </w:r>
      <w:r w:rsidR="0030270A">
        <w:rPr>
          <w:noProof/>
          <w:lang w:eastAsia="nb-NO"/>
        </w:rPr>
        <w:lastRenderedPageBreak/>
        <w:drawing>
          <wp:inline distT="0" distB="0" distL="0" distR="0">
            <wp:extent cx="2933700" cy="3971290"/>
            <wp:effectExtent l="0" t="0" r="0" b="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C4A5A" w:rsidRDefault="002F1569" w:rsidP="008F66B2">
      <w:pPr>
        <w:pStyle w:val="Bildetekst"/>
      </w:pPr>
      <w:r>
        <w:t xml:space="preserve">Figur </w:t>
      </w:r>
      <w:r w:rsidR="004B3D9E">
        <w:fldChar w:fldCharType="begin"/>
      </w:r>
      <w:r>
        <w:instrText xml:space="preserve"> SEQ Figur \* ARABIC </w:instrText>
      </w:r>
      <w:r w:rsidR="004B3D9E">
        <w:fldChar w:fldCharType="separate"/>
      </w:r>
      <w:r w:rsidR="00CD5BFF">
        <w:rPr>
          <w:noProof/>
        </w:rPr>
        <w:t>36</w:t>
      </w:r>
      <w:r w:rsidR="004B3D9E">
        <w:fldChar w:fldCharType="end"/>
      </w:r>
      <w:r>
        <w:t xml:space="preserve">: Nivå, dvs. antall arbeidsplasser som prosentvis andel av sysselsettingen, på de regionale næringene i kommunene i </w:t>
      </w:r>
      <w:r w:rsidR="00F55B8B">
        <w:t>Hedmark</w:t>
      </w:r>
      <w:r>
        <w:t xml:space="preserve"> i 2013. </w:t>
      </w:r>
    </w:p>
    <w:p w:rsidR="000E5E71" w:rsidRDefault="00F55B8B" w:rsidP="000E5E71">
      <w:pPr>
        <w:pStyle w:val="Bildetekst"/>
        <w:sectPr w:rsidR="000E5E71" w:rsidSect="00687F25">
          <w:type w:val="continuous"/>
          <w:pgSz w:w="11907" w:h="16840" w:code="9"/>
          <w:pgMar w:top="1440" w:right="1080" w:bottom="1440" w:left="1080" w:header="709" w:footer="709" w:gutter="0"/>
          <w:cols w:num="2" w:space="708"/>
          <w:docGrid w:linePitch="360"/>
        </w:sectPr>
      </w:pPr>
      <w:r>
        <w:rPr>
          <w:noProof/>
          <w:lang w:eastAsia="nb-NO"/>
        </w:rPr>
        <w:drawing>
          <wp:inline distT="0" distB="0" distL="0" distR="0">
            <wp:extent cx="2869565" cy="3771900"/>
            <wp:effectExtent l="0" t="0" r="6985"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D631E8">
        <w:t xml:space="preserve">Figur </w:t>
      </w:r>
      <w:r w:rsidR="004B3D9E">
        <w:fldChar w:fldCharType="begin"/>
      </w:r>
      <w:r w:rsidR="00D631E8">
        <w:instrText xml:space="preserve"> SEQ Figur \* ARABIC </w:instrText>
      </w:r>
      <w:r w:rsidR="004B3D9E">
        <w:fldChar w:fldCharType="separate"/>
      </w:r>
      <w:r w:rsidR="00CD5BFF">
        <w:rPr>
          <w:noProof/>
        </w:rPr>
        <w:t>37</w:t>
      </w:r>
      <w:r w:rsidR="004B3D9E">
        <w:fldChar w:fldCharType="end"/>
      </w:r>
      <w:r w:rsidR="00D631E8">
        <w:t>: Vekstimpulser fra</w:t>
      </w:r>
      <w:r w:rsidR="00F448AA">
        <w:t xml:space="preserve"> de regionale næringene fra 2000</w:t>
      </w:r>
      <w:r w:rsidR="00D631E8">
        <w:t xml:space="preserve"> til 2013, i kommunene i </w:t>
      </w:r>
      <w:r>
        <w:t>Hedmark</w:t>
      </w:r>
      <w:r w:rsidR="00D631E8">
        <w:t xml:space="preserve">. </w:t>
      </w:r>
      <w:r w:rsidR="000E5E71">
        <w:br w:type="page"/>
      </w:r>
    </w:p>
    <w:p w:rsidR="0036534D" w:rsidRDefault="00C819FF" w:rsidP="00C819FF">
      <w:pPr>
        <w:pStyle w:val="Overskrift3"/>
        <w:ind w:left="227" w:hanging="227"/>
        <w:sectPr w:rsidR="0036534D" w:rsidSect="00687F25">
          <w:type w:val="continuous"/>
          <w:pgSz w:w="11907" w:h="16840" w:code="9"/>
          <w:pgMar w:top="1440" w:right="1080" w:bottom="1440" w:left="1080" w:header="709" w:footer="709" w:gutter="0"/>
          <w:cols w:space="708"/>
          <w:docGrid w:linePitch="360"/>
        </w:sectPr>
      </w:pPr>
      <w:r>
        <w:lastRenderedPageBreak/>
        <w:t>Dekomponering av veksten i de r</w:t>
      </w:r>
      <w:r w:rsidR="00471B43">
        <w:t>egionale næri</w:t>
      </w:r>
      <w:r>
        <w:t>ngene</w:t>
      </w:r>
    </w:p>
    <w:p w:rsidR="006E0500" w:rsidRDefault="006E0500" w:rsidP="00CE5424">
      <w:r>
        <w:lastRenderedPageBreak/>
        <w:t>I figur 3</w:t>
      </w:r>
      <w:r w:rsidR="00D5007E">
        <w:t>8</w:t>
      </w:r>
      <w:r>
        <w:t xml:space="preserve"> er den årlige veksten i de regionale næringene i </w:t>
      </w:r>
      <w:proofErr w:type="spellStart"/>
      <w:r w:rsidR="00D5007E">
        <w:t>Glåmdal</w:t>
      </w:r>
      <w:proofErr w:type="spellEnd"/>
      <w:r>
        <w:t xml:space="preserve"> dekomponert i nasjonal vekst, bransjeeffekt og bransjejustert vekst. Figuren viser tre års glidende gjennomsnitt.</w:t>
      </w:r>
    </w:p>
    <w:p w:rsidR="006E0500" w:rsidRDefault="006E0500" w:rsidP="00CE5424">
      <w:r>
        <w:t>I motsetning til basisnæringene har ikke bransjestrukturen så mye å si for utviklingen av de regionale næringene, men vi ser at den nasjonale veksten betyr mer.</w:t>
      </w:r>
    </w:p>
    <w:p w:rsidR="00CE5424" w:rsidRDefault="006E0500" w:rsidP="00CE5424">
      <w:r>
        <w:t xml:space="preserve">De regionale næringene i Norge vokste raskt i oppgangstiden fra 2005-2008. </w:t>
      </w:r>
      <w:r w:rsidR="00F37EE8">
        <w:t xml:space="preserve">Fram til 2008 vokste de regionale næringene i </w:t>
      </w:r>
      <w:proofErr w:type="spellStart"/>
      <w:r w:rsidR="00F37EE8">
        <w:t>Glåmdal</w:t>
      </w:r>
      <w:proofErr w:type="spellEnd"/>
      <w:r w:rsidR="00F37EE8">
        <w:t xml:space="preserve"> raskere enn ellers i landet. Etter finanskrisen har veksten i de regionale næringene blitt svakere. I </w:t>
      </w:r>
      <w:proofErr w:type="spellStart"/>
      <w:r w:rsidR="00F37EE8">
        <w:t>Glåmdal</w:t>
      </w:r>
      <w:proofErr w:type="spellEnd"/>
      <w:r w:rsidR="00F37EE8">
        <w:t xml:space="preserve"> har de regionale næringene hatt svakere utvikling enn ellers i landet etter finanskrisen.</w:t>
      </w:r>
    </w:p>
    <w:p w:rsidR="006E0500" w:rsidRDefault="006E0500" w:rsidP="00CE5424">
      <w:r>
        <w:t xml:space="preserve">I figur </w:t>
      </w:r>
      <w:r w:rsidR="00D5007E">
        <w:t>39</w:t>
      </w:r>
      <w:r>
        <w:t xml:space="preserve"> har vi sett spesielt på den siste treårsperioden og hvordan veksten i de regionale næringene kan dekomponeres for alle kommunene i </w:t>
      </w:r>
      <w:r w:rsidR="00D5007E">
        <w:t>Hedmark</w:t>
      </w:r>
      <w:r>
        <w:t>.</w:t>
      </w:r>
    </w:p>
    <w:p w:rsidR="006E0500" w:rsidRDefault="00D5007E" w:rsidP="00CE5424">
      <w:r>
        <w:t xml:space="preserve">Våler, Eidskog og Sør-Odal har hatt ganske bra utvikling i de regionale næringene i denne perioden. I de andre kommunene har de regionale næringene utviklet seg svakt. Kongsvinger har mest av de regionale næringene av kommunene i </w:t>
      </w:r>
      <w:proofErr w:type="spellStart"/>
      <w:r>
        <w:t>Glåmdal</w:t>
      </w:r>
      <w:proofErr w:type="spellEnd"/>
      <w:r>
        <w:t>, og har hatt ganske sterk nedgang.</w:t>
      </w:r>
    </w:p>
    <w:p w:rsidR="006E0500" w:rsidRDefault="006E0500" w:rsidP="00CE5424"/>
    <w:p w:rsidR="001E7BF3" w:rsidRDefault="001E7BF3" w:rsidP="00CE5424"/>
    <w:p w:rsidR="001E7BF3" w:rsidRDefault="001E7BF3" w:rsidP="00CE5424"/>
    <w:p w:rsidR="00CE5424" w:rsidRDefault="00CE5424" w:rsidP="00CE5424">
      <w:r>
        <w:br w:type="column"/>
      </w:r>
      <w:r w:rsidR="00F37EE8">
        <w:rPr>
          <w:noProof/>
          <w:lang w:eastAsia="nb-NO"/>
        </w:rPr>
        <w:lastRenderedPageBreak/>
        <w:drawing>
          <wp:inline distT="0" distB="0" distL="0" distR="0">
            <wp:extent cx="2869565" cy="2578100"/>
            <wp:effectExtent l="0" t="0" r="6985" b="0"/>
            <wp:docPr id="34" name="Diagra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6534D" w:rsidRPr="0036534D" w:rsidRDefault="00220BF0" w:rsidP="006E0500">
      <w:pPr>
        <w:pStyle w:val="Bildetekst"/>
      </w:pPr>
      <w:r>
        <w:t xml:space="preserve">Figur </w:t>
      </w:r>
      <w:r w:rsidR="004B3D9E">
        <w:fldChar w:fldCharType="begin"/>
      </w:r>
      <w:r>
        <w:instrText xml:space="preserve"> SEQ Figur \* ARABIC </w:instrText>
      </w:r>
      <w:r w:rsidR="004B3D9E">
        <w:fldChar w:fldCharType="separate"/>
      </w:r>
      <w:r w:rsidR="00CD5BFF">
        <w:rPr>
          <w:noProof/>
        </w:rPr>
        <w:t>38</w:t>
      </w:r>
      <w:r w:rsidR="004B3D9E">
        <w:fldChar w:fldCharType="end"/>
      </w:r>
      <w:r>
        <w:t xml:space="preserve">: </w:t>
      </w:r>
      <w:r w:rsidR="00734F2A">
        <w:t xml:space="preserve">Vekstimpulser fra de regionale næringene </w:t>
      </w:r>
      <w:r w:rsidR="005F4830">
        <w:t xml:space="preserve">i </w:t>
      </w:r>
      <w:proofErr w:type="spellStart"/>
      <w:r w:rsidR="00F55B8B">
        <w:t>Glåmdal</w:t>
      </w:r>
      <w:proofErr w:type="spellEnd"/>
      <w:r w:rsidR="005F4830">
        <w:t xml:space="preserve"> </w:t>
      </w:r>
      <w:r w:rsidR="00734F2A">
        <w:t xml:space="preserve">fra 2000 til 2013. </w:t>
      </w:r>
      <w:r w:rsidR="006E0500">
        <w:t xml:space="preserve">Tre års glidende gjennomsnitt. </w:t>
      </w:r>
      <w:r w:rsidR="00734F2A">
        <w:t xml:space="preserve">Vekstimpulsene er dekomponert i nasjonalt bidrag, bransjeeffekt og bransjejustert vekst. </w:t>
      </w:r>
    </w:p>
    <w:p w:rsidR="00E31219" w:rsidRDefault="00F55B8B" w:rsidP="00F058D7">
      <w:pPr>
        <w:pStyle w:val="Bildetekst"/>
      </w:pPr>
      <w:r>
        <w:rPr>
          <w:noProof/>
          <w:lang w:eastAsia="nb-NO"/>
        </w:rPr>
        <w:drawing>
          <wp:inline distT="0" distB="0" distL="0" distR="0">
            <wp:extent cx="2809875" cy="3895725"/>
            <wp:effectExtent l="0" t="0" r="9525" b="9525"/>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sidR="003273A2">
        <w:t xml:space="preserve">Figur </w:t>
      </w:r>
      <w:r w:rsidR="004B3D9E">
        <w:fldChar w:fldCharType="begin"/>
      </w:r>
      <w:r w:rsidR="003273A2">
        <w:instrText xml:space="preserve"> SEQ Figur \* ARABIC </w:instrText>
      </w:r>
      <w:r w:rsidR="004B3D9E">
        <w:fldChar w:fldCharType="separate"/>
      </w:r>
      <w:r w:rsidR="00CD5BFF">
        <w:rPr>
          <w:noProof/>
        </w:rPr>
        <w:t>39</w:t>
      </w:r>
      <w:r w:rsidR="004B3D9E">
        <w:fldChar w:fldCharType="end"/>
      </w:r>
      <w:r w:rsidR="003273A2">
        <w:t xml:space="preserve">: Vekstimpulser fra de regionale næringene i </w:t>
      </w:r>
      <w:r w:rsidR="006E0500">
        <w:t xml:space="preserve">kommunene i </w:t>
      </w:r>
      <w:r>
        <w:t>Hedmark</w:t>
      </w:r>
      <w:r w:rsidR="006E0500">
        <w:t xml:space="preserve"> siste tre år</w:t>
      </w:r>
      <w:r w:rsidR="003273A2">
        <w:t xml:space="preserve">, dekomponert i </w:t>
      </w:r>
      <w:r w:rsidR="006E0500">
        <w:t>n</w:t>
      </w:r>
      <w:r w:rsidR="003273A2">
        <w:t xml:space="preserve">asjonalt bidrag, </w:t>
      </w:r>
      <w:r w:rsidR="006E0500">
        <w:t>bransjeeffekt og bransjejustert vekst</w:t>
      </w:r>
      <w:r w:rsidR="003273A2">
        <w:t>.</w:t>
      </w:r>
    </w:p>
    <w:p w:rsidR="00556C26" w:rsidRDefault="00E31219">
      <w:pPr>
        <w:spacing w:after="0" w:line="240" w:lineRule="auto"/>
        <w:sectPr w:rsidR="00556C26" w:rsidSect="00687F25">
          <w:type w:val="continuous"/>
          <w:pgSz w:w="11907" w:h="16840" w:code="9"/>
          <w:pgMar w:top="1440" w:right="1080" w:bottom="1440" w:left="1080" w:header="709" w:footer="709" w:gutter="0"/>
          <w:cols w:num="2" w:space="708"/>
          <w:docGrid w:linePitch="360"/>
        </w:sectPr>
      </w:pPr>
      <w:r>
        <w:br w:type="page"/>
      </w:r>
    </w:p>
    <w:p w:rsidR="00E31219" w:rsidRDefault="00E31219" w:rsidP="00E31219">
      <w:pPr>
        <w:pStyle w:val="Overskrift3"/>
      </w:pPr>
      <w:r>
        <w:lastRenderedPageBreak/>
        <w:t>Oppsummering næringsattraktivitet</w:t>
      </w:r>
    </w:p>
    <w:p w:rsidR="00C819FF" w:rsidRDefault="00E31219" w:rsidP="00E31219">
      <w:r>
        <w:t xml:space="preserve">Vi har nå gått gjennom de tre strategiske næringstypene i detalj. Vi har splittet opp veksten i de ulike næringstypene i strukturelle forhold og i attraktivitet. </w:t>
      </w:r>
      <w:r w:rsidR="00C819FF">
        <w:t xml:space="preserve">Vi har sett at </w:t>
      </w:r>
      <w:proofErr w:type="spellStart"/>
      <w:r w:rsidR="00F37EE8">
        <w:t>Glåmdal</w:t>
      </w:r>
      <w:proofErr w:type="spellEnd"/>
      <w:r w:rsidR="00F37EE8">
        <w:t xml:space="preserve"> </w:t>
      </w:r>
      <w:r w:rsidR="00C819FF">
        <w:t>har hatt en ugunstig næringsstruktur, og at svak befolkningsvekst har svekket besøksnæringene. Det er forhold som en ikke har kunnet gjøre særlige med, og som vil fortsette å prege utviklingen i de neste årene.</w:t>
      </w:r>
    </w:p>
    <w:p w:rsidR="00E31219" w:rsidRDefault="00E31219" w:rsidP="00E31219">
      <w:r>
        <w:t>Det er regionens samlede attraktivitet for basisnæringer, besøksnæringer og regionale næringer som avgjør om veksten i næringslivet blir bedre eller dårligere enn hva de strukturelle forholdene tilsier.</w:t>
      </w:r>
    </w:p>
    <w:p w:rsidR="00F37EE8" w:rsidRDefault="00456D14" w:rsidP="00E31219">
      <w:r>
        <w:t xml:space="preserve">Figur </w:t>
      </w:r>
      <w:r w:rsidR="00F37EE8">
        <w:t>40</w:t>
      </w:r>
      <w:r>
        <w:t xml:space="preserve"> viser hvordan næringsattraktiviteten har utviklet seg i overlappende treårsperioder etter 2000. </w:t>
      </w:r>
    </w:p>
    <w:p w:rsidR="00F37EE8" w:rsidRDefault="00F37EE8" w:rsidP="00E31219">
      <w:proofErr w:type="spellStart"/>
      <w:r>
        <w:t>Glåmdal</w:t>
      </w:r>
      <w:proofErr w:type="spellEnd"/>
      <w:r>
        <w:t xml:space="preserve"> har hatt svak attraktivitet for basisnæringene i alle periodene unntatt den siste. Attraktiviteten for de regionale næringene var god fram til 2008, men svak ellers. Besøksattraktiviteten har variert en del, og i sum for perioden er den ganske nøytral.</w:t>
      </w:r>
    </w:p>
    <w:p w:rsidR="00456D14" w:rsidRDefault="00456D14" w:rsidP="00E31219">
      <w:r>
        <w:t xml:space="preserve">I figur </w:t>
      </w:r>
      <w:r w:rsidR="00F37EE8">
        <w:t>41</w:t>
      </w:r>
      <w:r>
        <w:t xml:space="preserve"> ser vi hvordan regionene på Østlandet kommer ut når det gjelder den samlede næringsattraktiviteten etter 2000. </w:t>
      </w:r>
    </w:p>
    <w:p w:rsidR="00456D14" w:rsidRDefault="00F37EE8" w:rsidP="00E31219">
      <w:proofErr w:type="spellStart"/>
      <w:r>
        <w:t>Glåmdal</w:t>
      </w:r>
      <w:proofErr w:type="spellEnd"/>
      <w:r>
        <w:t xml:space="preserve"> er rangert som nummer 61 av 84 regioner. Det er den svake utviklingen i basisnæringene som er årsaken til den lave samlede nærings</w:t>
      </w:r>
      <w:r>
        <w:softHyphen/>
        <w:t xml:space="preserve">attraktiviteten. Vi ser av figur 40 at </w:t>
      </w:r>
      <w:proofErr w:type="spellStart"/>
      <w:r>
        <w:t>Glåmdal</w:t>
      </w:r>
      <w:proofErr w:type="spellEnd"/>
      <w:r>
        <w:t xml:space="preserve"> hadde ganske bra næringsattraktivitet fram til 2006. Rangeringen hadde nok blitt svakere dersom vi hadde brukt perioden etter 2008.</w:t>
      </w:r>
    </w:p>
    <w:p w:rsidR="00456D14" w:rsidRDefault="00456D14" w:rsidP="00E31219"/>
    <w:p w:rsidR="00E31219" w:rsidRDefault="00E31219" w:rsidP="00E31219">
      <w:pPr>
        <w:keepNext/>
      </w:pPr>
      <w:r>
        <w:br w:type="column"/>
      </w:r>
      <w:r w:rsidR="004B60D4">
        <w:rPr>
          <w:noProof/>
          <w:lang w:eastAsia="nb-NO"/>
        </w:rPr>
        <w:lastRenderedPageBreak/>
        <w:drawing>
          <wp:inline distT="0" distB="0" distL="0" distR="0">
            <wp:extent cx="2962275" cy="2274073"/>
            <wp:effectExtent l="0" t="0" r="0" b="0"/>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31219" w:rsidRDefault="00E31219" w:rsidP="00E31219">
      <w:pPr>
        <w:pStyle w:val="Bildetekst"/>
      </w:pPr>
      <w:r>
        <w:t xml:space="preserve">Figur </w:t>
      </w:r>
      <w:r w:rsidR="004B3D9E">
        <w:fldChar w:fldCharType="begin"/>
      </w:r>
      <w:r>
        <w:instrText xml:space="preserve"> SEQ Figur \* ARABIC </w:instrText>
      </w:r>
      <w:r w:rsidR="004B3D9E">
        <w:fldChar w:fldCharType="separate"/>
      </w:r>
      <w:r w:rsidR="00CD5BFF">
        <w:rPr>
          <w:noProof/>
        </w:rPr>
        <w:t>40</w:t>
      </w:r>
      <w:r w:rsidR="004B3D9E">
        <w:fldChar w:fldCharType="end"/>
      </w:r>
      <w:r>
        <w:t>: Samlet næringsattraktivitet.</w:t>
      </w:r>
    </w:p>
    <w:p w:rsidR="00741165" w:rsidRDefault="00741165" w:rsidP="00741165">
      <w:pPr>
        <w:keepNext/>
      </w:pPr>
      <w:r>
        <w:rPr>
          <w:noProof/>
          <w:lang w:eastAsia="nb-NO"/>
        </w:rPr>
        <w:drawing>
          <wp:inline distT="0" distB="0" distL="0" distR="0">
            <wp:extent cx="3133725" cy="5367130"/>
            <wp:effectExtent l="0" t="0" r="0" b="5080"/>
            <wp:docPr id="39" name="Diagra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70B75" w:rsidRDefault="00741165" w:rsidP="00570B75">
      <w:pPr>
        <w:pStyle w:val="Bildetekst"/>
        <w:sectPr w:rsidR="00570B75" w:rsidSect="00687F25">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41</w:t>
      </w:r>
      <w:r w:rsidR="004B3D9E">
        <w:fldChar w:fldCharType="end"/>
      </w:r>
      <w:r>
        <w:t>: Samlet næringsattraktivitet for regionene på Østlandet</w:t>
      </w:r>
      <w:r w:rsidR="00456D14">
        <w:t xml:space="preserve"> i perioden 2000-2013</w:t>
      </w:r>
      <w:r>
        <w:t>. Rangering blant de 83 regionene i Norge er vist helt til venstre.</w:t>
      </w:r>
      <w:r w:rsidR="00570B75">
        <w:t xml:space="preserve"> </w:t>
      </w:r>
      <w:r w:rsidR="00570B75">
        <w:br w:type="page"/>
      </w:r>
    </w:p>
    <w:p w:rsidR="00820EF2" w:rsidRDefault="00F37EE8" w:rsidP="00F37EE8">
      <w:pPr>
        <w:pStyle w:val="Overskrift3"/>
      </w:pPr>
      <w:bookmarkStart w:id="41" w:name="_Toc400090075"/>
      <w:r>
        <w:lastRenderedPageBreak/>
        <w:t>Næringsattraktivitet, strukturelle forhold og nasjonal vekst</w:t>
      </w:r>
    </w:p>
    <w:p w:rsidR="00820EF2" w:rsidRDefault="00F37EE8">
      <w:pPr>
        <w:spacing w:after="0" w:line="240" w:lineRule="auto"/>
      </w:pPr>
      <w:r>
        <w:t>Det kan være interessant å se den samlede næringsattraktiviteten sammen med nasjonal vekst og strukturelle forhold. Da har vi med alle forholdene som til sammen bestemmer veksten i antall arbeidsplasser i næringslivet.</w:t>
      </w:r>
    </w:p>
    <w:p w:rsidR="00556C26" w:rsidRDefault="00556C26" w:rsidP="00556C26"/>
    <w:p w:rsidR="00820EF2" w:rsidRDefault="00820EF2" w:rsidP="00820EF2">
      <w:pPr>
        <w:keepNext/>
        <w:spacing w:after="0" w:line="240" w:lineRule="auto"/>
      </w:pPr>
      <w:r>
        <w:rPr>
          <w:noProof/>
          <w:lang w:eastAsia="nb-NO"/>
        </w:rPr>
        <w:drawing>
          <wp:inline distT="0" distB="0" distL="0" distR="0">
            <wp:extent cx="5705475" cy="4171950"/>
            <wp:effectExtent l="0" t="0" r="0" b="0"/>
            <wp:docPr id="80" name="Diagram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20EF2" w:rsidRDefault="00820EF2" w:rsidP="00820EF2">
      <w:pPr>
        <w:pStyle w:val="Bildetekst"/>
      </w:pPr>
      <w:r>
        <w:t xml:space="preserve">Figur </w:t>
      </w:r>
      <w:r w:rsidR="004B3D9E">
        <w:fldChar w:fldCharType="begin"/>
      </w:r>
      <w:r>
        <w:instrText xml:space="preserve"> SEQ Figur \* ARABIC </w:instrText>
      </w:r>
      <w:r w:rsidR="004B3D9E">
        <w:fldChar w:fldCharType="separate"/>
      </w:r>
      <w:r w:rsidR="00CD5BFF">
        <w:rPr>
          <w:noProof/>
        </w:rPr>
        <w:t>42</w:t>
      </w:r>
      <w:r w:rsidR="004B3D9E">
        <w:fldChar w:fldCharType="end"/>
      </w:r>
      <w:r>
        <w:t>:</w:t>
      </w:r>
      <w:r w:rsidR="00F37EE8">
        <w:t xml:space="preserve"> Vekst i antall arbeidsplasser i næringslivet, dekomponert i bidrag fra nasjonal vekst, strukturelle forhold og næringsattraktivitet. Tre års glidende gjennomsnitt.</w:t>
      </w:r>
    </w:p>
    <w:p w:rsidR="00F37EE8" w:rsidRDefault="00F37EE8" w:rsidP="00F37EE8">
      <w:r>
        <w:t xml:space="preserve">I figuren over er den gule streken den samlede veksten i antall arbeidsplasser i næringslivet. Vi kan se at det nasjonale bidraget forklarer ganske mye av veksten. Det nasjonale bidraget er næringslivets vekst i Norge, og representerer konjunkturene for næringslivet i Norge. </w:t>
      </w:r>
    </w:p>
    <w:p w:rsidR="00F37EE8" w:rsidRDefault="00F37EE8" w:rsidP="00F37EE8">
      <w:r>
        <w:t xml:space="preserve">De strukturelle forholdene har blitt gradvis mer negative for næringslivet i </w:t>
      </w:r>
      <w:proofErr w:type="spellStart"/>
      <w:r>
        <w:t>Glåmdal</w:t>
      </w:r>
      <w:proofErr w:type="spellEnd"/>
      <w:r>
        <w:t xml:space="preserve">. Det skyldes for en stor del av de oljebaserte delene av næringslivet har hatt sterk vekst, og andre deler av det konkurranseutsatte næringslivet svak vekst. En region som </w:t>
      </w:r>
      <w:proofErr w:type="spellStart"/>
      <w:r>
        <w:t>Glåmdal</w:t>
      </w:r>
      <w:proofErr w:type="spellEnd"/>
      <w:r>
        <w:t>, som ikke har oljenæringer, vil da ha en ulempe. Dette ser ut til å kunne snu nå, ettersom det er ventet nedgang i oljebaserte bransjer, mens svekket kronekurs gir fordeler for andre konkurranseutsatte bransjer.</w:t>
      </w:r>
    </w:p>
    <w:p w:rsidR="00F37EE8" w:rsidRDefault="00F37EE8" w:rsidP="00F37EE8">
      <w:r>
        <w:t>Selv om konjunkturer og strukturelle forhold betyr mye for veksten i næringslivet, er det næringsattraktiviteten som representerer handlingsrommet til regionen. De nasjonale konjunkturene og strukturelle forholdene kan regionen ikke gjøre stort med.</w:t>
      </w:r>
    </w:p>
    <w:p w:rsidR="00556C26" w:rsidRDefault="00556C26">
      <w:pPr>
        <w:spacing w:after="0" w:line="240" w:lineRule="auto"/>
        <w:sectPr w:rsidR="00556C26" w:rsidSect="00687F25">
          <w:type w:val="continuous"/>
          <w:pgSz w:w="11907" w:h="16840" w:code="9"/>
          <w:pgMar w:top="1440" w:right="1080" w:bottom="1440" w:left="1080" w:header="709" w:footer="709" w:gutter="0"/>
          <w:cols w:space="708"/>
          <w:docGrid w:linePitch="360"/>
        </w:sectPr>
      </w:pPr>
      <w:r>
        <w:br w:type="page"/>
      </w:r>
    </w:p>
    <w:p w:rsidR="00226761" w:rsidRDefault="00E2722E" w:rsidP="00DE26D7">
      <w:pPr>
        <w:pStyle w:val="Overskrift1"/>
      </w:pPr>
      <w:bookmarkStart w:id="42" w:name="_Toc409451085"/>
      <w:r>
        <w:lastRenderedPageBreak/>
        <w:t>Pendling og arbeidsmarkedsintegrasjon</w:t>
      </w:r>
      <w:bookmarkEnd w:id="41"/>
      <w:bookmarkEnd w:id="42"/>
    </w:p>
    <w:p w:rsidR="006B070B" w:rsidRDefault="00AC2A84" w:rsidP="00AC2A84">
      <w:pPr>
        <w:pStyle w:val="Ingress"/>
        <w:ind w:left="0" w:right="-34"/>
      </w:pPr>
      <w:r>
        <w:t>Et av de viktigste strukturelle forholdene er hvordan stedet henger sammen me</w:t>
      </w:r>
      <w:r w:rsidR="00C819FF">
        <w:t>d</w:t>
      </w:r>
      <w:r>
        <w:t xml:space="preserve"> området utenfor. Hvor lett er det å pendle ut og inn av </w:t>
      </w:r>
      <w:r w:rsidR="00C819FF">
        <w:t>stedet</w:t>
      </w:r>
      <w:r>
        <w:t>, og hvorda</w:t>
      </w:r>
      <w:r w:rsidR="00C819FF">
        <w:t>n er arbeidsplassutviklingen i omkring</w:t>
      </w:r>
      <w:r>
        <w:t xml:space="preserve">liggende </w:t>
      </w:r>
      <w:r w:rsidR="00C819FF">
        <w:t>kom</w:t>
      </w:r>
      <w:r w:rsidR="00F30CE1">
        <w:t>m</w:t>
      </w:r>
      <w:r w:rsidR="00C819FF">
        <w:t>uner</w:t>
      </w:r>
      <w:r>
        <w:t>? Pendlingsstrømmene kan fortelle oss om disse forholdene.</w:t>
      </w:r>
    </w:p>
    <w:p w:rsidR="006B070B" w:rsidRDefault="00AC2A84" w:rsidP="006B070B">
      <w:r>
        <w:t xml:space="preserve">I tabellen under viser vi en pendlingsmatrise for kommunene i </w:t>
      </w:r>
      <w:proofErr w:type="spellStart"/>
      <w:r w:rsidR="00F37EE8">
        <w:t>Glåmdal</w:t>
      </w:r>
      <w:proofErr w:type="spellEnd"/>
      <w:r w:rsidR="00F37EE8">
        <w:t xml:space="preserve"> </w:t>
      </w:r>
      <w:r>
        <w:t>og de nabokommunene det pendles mest til.</w:t>
      </w:r>
    </w:p>
    <w:p w:rsidR="00F30CE1" w:rsidRDefault="00AC2A84" w:rsidP="00F30CE1">
      <w:pPr>
        <w:pStyle w:val="Bildetekst"/>
        <w:keepNext/>
      </w:pPr>
      <w:r>
        <w:t xml:space="preserve">Tabell </w:t>
      </w:r>
      <w:r w:rsidR="004B3D9E">
        <w:fldChar w:fldCharType="begin"/>
      </w:r>
      <w:r>
        <w:instrText xml:space="preserve"> SEQ Tabell \* ARABIC </w:instrText>
      </w:r>
      <w:r w:rsidR="004B3D9E">
        <w:fldChar w:fldCharType="separate"/>
      </w:r>
      <w:r w:rsidR="00CD5BFF">
        <w:rPr>
          <w:noProof/>
        </w:rPr>
        <w:t>5</w:t>
      </w:r>
      <w:r w:rsidR="004B3D9E">
        <w:fldChar w:fldCharType="end"/>
      </w:r>
      <w:r>
        <w:t>: Pendlingsmatrise for 2013. Øverste tabell er i antall ansatte, mens i nederste tabell er tallene gjort til andel av samlet sysselsetting.</w:t>
      </w:r>
    </w:p>
    <w:tbl>
      <w:tblPr>
        <w:tblW w:w="984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tblPr>
      <w:tblGrid>
        <w:gridCol w:w="519"/>
        <w:gridCol w:w="1328"/>
        <w:gridCol w:w="949"/>
        <w:gridCol w:w="1119"/>
        <w:gridCol w:w="999"/>
        <w:gridCol w:w="939"/>
        <w:gridCol w:w="782"/>
        <w:gridCol w:w="780"/>
        <w:gridCol w:w="611"/>
        <w:gridCol w:w="802"/>
        <w:gridCol w:w="1059"/>
      </w:tblGrid>
      <w:tr w:rsidR="00F30CE1" w:rsidRPr="00A47AD9" w:rsidTr="00A47AD9">
        <w:trPr>
          <w:trHeight w:val="300"/>
        </w:trPr>
        <w:tc>
          <w:tcPr>
            <w:tcW w:w="520" w:type="dxa"/>
            <w:shd w:val="clear" w:color="auto" w:fill="auto"/>
            <w:noWrap/>
            <w:vAlign w:val="bottom"/>
            <w:hideMark/>
          </w:tcPr>
          <w:p w:rsidR="00F30CE1" w:rsidRPr="00A47AD9" w:rsidRDefault="00F30CE1" w:rsidP="00F30CE1">
            <w:pPr>
              <w:spacing w:after="0" w:line="240" w:lineRule="auto"/>
              <w:rPr>
                <w:rFonts w:ascii="Arial" w:eastAsia="Times New Roman" w:hAnsi="Arial" w:cs="Arial"/>
                <w:sz w:val="18"/>
                <w:szCs w:val="18"/>
                <w:lang w:eastAsia="nb-NO"/>
              </w:rPr>
            </w:pPr>
          </w:p>
        </w:tc>
        <w:tc>
          <w:tcPr>
            <w:tcW w:w="1303" w:type="dxa"/>
            <w:shd w:val="clear" w:color="auto" w:fill="auto"/>
            <w:noWrap/>
            <w:vAlign w:val="bottom"/>
            <w:hideMark/>
          </w:tcPr>
          <w:p w:rsidR="00F30CE1" w:rsidRPr="00A47AD9" w:rsidRDefault="00F30CE1" w:rsidP="00F30CE1">
            <w:pPr>
              <w:spacing w:after="0" w:line="240" w:lineRule="auto"/>
              <w:rPr>
                <w:rFonts w:ascii="Arial" w:eastAsia="Times New Roman" w:hAnsi="Arial" w:cs="Arial"/>
                <w:sz w:val="18"/>
                <w:szCs w:val="18"/>
                <w:lang w:eastAsia="nb-NO"/>
              </w:rPr>
            </w:pPr>
          </w:p>
        </w:tc>
        <w:tc>
          <w:tcPr>
            <w:tcW w:w="6993" w:type="dxa"/>
            <w:gridSpan w:val="8"/>
            <w:shd w:val="clear" w:color="000000" w:fill="BDD7EE"/>
            <w:noWrap/>
            <w:vAlign w:val="bottom"/>
            <w:hideMark/>
          </w:tcPr>
          <w:p w:rsidR="00F30CE1" w:rsidRPr="00A47AD9" w:rsidRDefault="00F30CE1" w:rsidP="00F30CE1">
            <w:pPr>
              <w:spacing w:after="0" w:line="240" w:lineRule="auto"/>
              <w:jc w:val="center"/>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Arbeidssted</w:t>
            </w:r>
          </w:p>
        </w:tc>
        <w:tc>
          <w:tcPr>
            <w:tcW w:w="1033" w:type="dxa"/>
            <w:shd w:val="clear" w:color="000000" w:fill="BDD7EE"/>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 </w:t>
            </w:r>
          </w:p>
        </w:tc>
      </w:tr>
      <w:tr w:rsidR="00F30CE1" w:rsidRPr="00A47AD9" w:rsidTr="00A47AD9">
        <w:trPr>
          <w:trHeight w:val="300"/>
        </w:trPr>
        <w:tc>
          <w:tcPr>
            <w:tcW w:w="520"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03"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951" w:type="dxa"/>
            <w:shd w:val="clear" w:color="5B9BD5" w:fill="2F75B5"/>
            <w:noWrap/>
            <w:vAlign w:val="bottom"/>
            <w:hideMark/>
          </w:tcPr>
          <w:p w:rsidR="00F30CE1" w:rsidRPr="00A47AD9" w:rsidRDefault="00F30CE1" w:rsidP="00F30CE1">
            <w:pPr>
              <w:spacing w:after="0" w:line="240" w:lineRule="auto"/>
              <w:rPr>
                <w:rFonts w:ascii="Arial" w:eastAsia="Times New Roman" w:hAnsi="Arial" w:cs="Arial"/>
                <w:b/>
                <w:bCs/>
                <w:color w:val="FFFFFF"/>
                <w:sz w:val="18"/>
                <w:szCs w:val="18"/>
                <w:lang w:eastAsia="nb-NO"/>
              </w:rPr>
            </w:pPr>
            <w:proofErr w:type="spellStart"/>
            <w:r w:rsidRPr="00A47AD9">
              <w:rPr>
                <w:rFonts w:ascii="Arial" w:eastAsia="Times New Roman" w:hAnsi="Arial" w:cs="Arial"/>
                <w:b/>
                <w:bCs/>
                <w:color w:val="FFFFFF"/>
                <w:sz w:val="18"/>
                <w:szCs w:val="18"/>
                <w:lang w:eastAsia="nb-NO"/>
              </w:rPr>
              <w:t>Kongsv</w:t>
            </w:r>
            <w:proofErr w:type="spellEnd"/>
            <w:r w:rsidRPr="00A47AD9">
              <w:rPr>
                <w:rFonts w:ascii="Arial" w:eastAsia="Times New Roman" w:hAnsi="Arial" w:cs="Arial"/>
                <w:b/>
                <w:bCs/>
                <w:color w:val="FFFFFF"/>
                <w:sz w:val="18"/>
                <w:szCs w:val="18"/>
                <w:lang w:eastAsia="nb-NO"/>
              </w:rPr>
              <w:t>.</w:t>
            </w:r>
          </w:p>
        </w:tc>
        <w:tc>
          <w:tcPr>
            <w:tcW w:w="1121" w:type="dxa"/>
            <w:shd w:val="clear" w:color="5B9BD5" w:fill="2F75B5"/>
            <w:noWrap/>
            <w:vAlign w:val="bottom"/>
            <w:hideMark/>
          </w:tcPr>
          <w:p w:rsidR="00F30CE1" w:rsidRPr="00A47AD9" w:rsidRDefault="00F30CE1" w:rsidP="00F30CE1">
            <w:pPr>
              <w:spacing w:after="0" w:line="240" w:lineRule="auto"/>
              <w:rPr>
                <w:rFonts w:ascii="Arial" w:eastAsia="Times New Roman" w:hAnsi="Arial" w:cs="Arial"/>
                <w:b/>
                <w:bCs/>
                <w:color w:val="FFFFFF"/>
                <w:sz w:val="18"/>
                <w:szCs w:val="18"/>
                <w:lang w:eastAsia="nb-NO"/>
              </w:rPr>
            </w:pPr>
            <w:r w:rsidRPr="00A47AD9">
              <w:rPr>
                <w:rFonts w:ascii="Arial" w:eastAsia="Times New Roman" w:hAnsi="Arial" w:cs="Arial"/>
                <w:b/>
                <w:bCs/>
                <w:color w:val="FFFFFF"/>
                <w:sz w:val="18"/>
                <w:szCs w:val="18"/>
                <w:lang w:eastAsia="nb-NO"/>
              </w:rPr>
              <w:t>Nord-Odal</w:t>
            </w:r>
          </w:p>
        </w:tc>
        <w:tc>
          <w:tcPr>
            <w:tcW w:w="1001" w:type="dxa"/>
            <w:shd w:val="clear" w:color="5B9BD5" w:fill="2F75B5"/>
            <w:noWrap/>
            <w:vAlign w:val="bottom"/>
            <w:hideMark/>
          </w:tcPr>
          <w:p w:rsidR="00F30CE1" w:rsidRPr="00A47AD9" w:rsidRDefault="00F30CE1" w:rsidP="00F30CE1">
            <w:pPr>
              <w:spacing w:after="0" w:line="240" w:lineRule="auto"/>
              <w:rPr>
                <w:rFonts w:ascii="Arial" w:eastAsia="Times New Roman" w:hAnsi="Arial" w:cs="Arial"/>
                <w:b/>
                <w:bCs/>
                <w:color w:val="FFFFFF"/>
                <w:sz w:val="18"/>
                <w:szCs w:val="18"/>
                <w:lang w:eastAsia="nb-NO"/>
              </w:rPr>
            </w:pPr>
            <w:r w:rsidRPr="00A47AD9">
              <w:rPr>
                <w:rFonts w:ascii="Arial" w:eastAsia="Times New Roman" w:hAnsi="Arial" w:cs="Arial"/>
                <w:b/>
                <w:bCs/>
                <w:color w:val="FFFFFF"/>
                <w:sz w:val="18"/>
                <w:szCs w:val="18"/>
                <w:lang w:eastAsia="nb-NO"/>
              </w:rPr>
              <w:t>Sør-Odal</w:t>
            </w:r>
          </w:p>
        </w:tc>
        <w:tc>
          <w:tcPr>
            <w:tcW w:w="941" w:type="dxa"/>
            <w:shd w:val="clear" w:color="5B9BD5" w:fill="2F75B5"/>
            <w:noWrap/>
            <w:vAlign w:val="bottom"/>
            <w:hideMark/>
          </w:tcPr>
          <w:p w:rsidR="00F30CE1" w:rsidRPr="00A47AD9" w:rsidRDefault="00F30CE1" w:rsidP="00F30CE1">
            <w:pPr>
              <w:spacing w:after="0" w:line="240" w:lineRule="auto"/>
              <w:rPr>
                <w:rFonts w:ascii="Arial" w:eastAsia="Times New Roman" w:hAnsi="Arial" w:cs="Arial"/>
                <w:b/>
                <w:bCs/>
                <w:color w:val="FFFFFF"/>
                <w:sz w:val="18"/>
                <w:szCs w:val="18"/>
                <w:lang w:eastAsia="nb-NO"/>
              </w:rPr>
            </w:pPr>
            <w:r w:rsidRPr="00A47AD9">
              <w:rPr>
                <w:rFonts w:ascii="Arial" w:eastAsia="Times New Roman" w:hAnsi="Arial" w:cs="Arial"/>
                <w:b/>
                <w:bCs/>
                <w:color w:val="FFFFFF"/>
                <w:sz w:val="18"/>
                <w:szCs w:val="18"/>
                <w:lang w:eastAsia="nb-NO"/>
              </w:rPr>
              <w:t>Eidskog</w:t>
            </w:r>
          </w:p>
        </w:tc>
        <w:tc>
          <w:tcPr>
            <w:tcW w:w="783" w:type="dxa"/>
            <w:shd w:val="clear" w:color="5B9BD5" w:fill="2F75B5"/>
            <w:noWrap/>
            <w:vAlign w:val="bottom"/>
            <w:hideMark/>
          </w:tcPr>
          <w:p w:rsidR="00F30CE1" w:rsidRPr="00A47AD9" w:rsidRDefault="00F30CE1" w:rsidP="00F30CE1">
            <w:pPr>
              <w:spacing w:after="0" w:line="240" w:lineRule="auto"/>
              <w:rPr>
                <w:rFonts w:ascii="Arial" w:eastAsia="Times New Roman" w:hAnsi="Arial" w:cs="Arial"/>
                <w:b/>
                <w:bCs/>
                <w:color w:val="FFFFFF"/>
                <w:sz w:val="18"/>
                <w:szCs w:val="18"/>
                <w:lang w:eastAsia="nb-NO"/>
              </w:rPr>
            </w:pPr>
            <w:r w:rsidRPr="00A47AD9">
              <w:rPr>
                <w:rFonts w:ascii="Arial" w:eastAsia="Times New Roman" w:hAnsi="Arial" w:cs="Arial"/>
                <w:b/>
                <w:bCs/>
                <w:color w:val="FFFFFF"/>
                <w:sz w:val="18"/>
                <w:szCs w:val="18"/>
                <w:lang w:eastAsia="nb-NO"/>
              </w:rPr>
              <w:t>Grue</w:t>
            </w:r>
          </w:p>
        </w:tc>
        <w:tc>
          <w:tcPr>
            <w:tcW w:w="781" w:type="dxa"/>
            <w:shd w:val="clear" w:color="5B9BD5" w:fill="2F75B5"/>
            <w:noWrap/>
            <w:vAlign w:val="bottom"/>
            <w:hideMark/>
          </w:tcPr>
          <w:p w:rsidR="00F30CE1" w:rsidRPr="00A47AD9" w:rsidRDefault="00F30CE1" w:rsidP="00F30CE1">
            <w:pPr>
              <w:spacing w:after="0" w:line="240" w:lineRule="auto"/>
              <w:rPr>
                <w:rFonts w:ascii="Arial" w:eastAsia="Times New Roman" w:hAnsi="Arial" w:cs="Arial"/>
                <w:b/>
                <w:bCs/>
                <w:color w:val="FFFFFF"/>
                <w:sz w:val="18"/>
                <w:szCs w:val="18"/>
                <w:lang w:eastAsia="nb-NO"/>
              </w:rPr>
            </w:pPr>
            <w:r w:rsidRPr="00A47AD9">
              <w:rPr>
                <w:rFonts w:ascii="Arial" w:eastAsia="Times New Roman" w:hAnsi="Arial" w:cs="Arial"/>
                <w:b/>
                <w:bCs/>
                <w:color w:val="FFFFFF"/>
                <w:sz w:val="18"/>
                <w:szCs w:val="18"/>
                <w:lang w:eastAsia="nb-NO"/>
              </w:rPr>
              <w:t>Åsnes</w:t>
            </w:r>
          </w:p>
        </w:tc>
        <w:tc>
          <w:tcPr>
            <w:tcW w:w="612" w:type="dxa"/>
            <w:shd w:val="clear" w:color="000000" w:fill="2F75B5"/>
            <w:noWrap/>
            <w:vAlign w:val="bottom"/>
            <w:hideMark/>
          </w:tcPr>
          <w:p w:rsidR="00F30CE1" w:rsidRPr="00A47AD9" w:rsidRDefault="00F30CE1" w:rsidP="00F30CE1">
            <w:pPr>
              <w:spacing w:after="0" w:line="240" w:lineRule="auto"/>
              <w:rPr>
                <w:rFonts w:ascii="Arial" w:eastAsia="Times New Roman" w:hAnsi="Arial" w:cs="Arial"/>
                <w:color w:val="FFFFFF"/>
                <w:sz w:val="18"/>
                <w:szCs w:val="18"/>
                <w:lang w:eastAsia="nb-NO"/>
              </w:rPr>
            </w:pPr>
            <w:r w:rsidRPr="00A47AD9">
              <w:rPr>
                <w:rFonts w:ascii="Arial" w:eastAsia="Times New Roman" w:hAnsi="Arial" w:cs="Arial"/>
                <w:color w:val="FFFFFF"/>
                <w:sz w:val="18"/>
                <w:szCs w:val="18"/>
                <w:lang w:eastAsia="nb-NO"/>
              </w:rPr>
              <w:t>Våler</w:t>
            </w:r>
          </w:p>
        </w:tc>
        <w:tc>
          <w:tcPr>
            <w:tcW w:w="803" w:type="dxa"/>
            <w:shd w:val="clear" w:color="000000" w:fill="D9D9D9"/>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Utenfor</w:t>
            </w:r>
          </w:p>
        </w:tc>
        <w:tc>
          <w:tcPr>
            <w:tcW w:w="1033" w:type="dxa"/>
            <w:shd w:val="clear" w:color="000000" w:fill="D9D9D9"/>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Sysselsatte</w:t>
            </w:r>
          </w:p>
        </w:tc>
      </w:tr>
      <w:tr w:rsidR="00F30CE1" w:rsidRPr="00A47AD9" w:rsidTr="00A47AD9">
        <w:trPr>
          <w:trHeight w:hRule="exact" w:val="227"/>
        </w:trPr>
        <w:tc>
          <w:tcPr>
            <w:tcW w:w="520" w:type="dxa"/>
            <w:vMerge w:val="restart"/>
            <w:shd w:val="clear" w:color="000000" w:fill="BDD7EE"/>
            <w:noWrap/>
            <w:textDirection w:val="btLr"/>
            <w:vAlign w:val="center"/>
            <w:hideMark/>
          </w:tcPr>
          <w:p w:rsidR="00F30CE1" w:rsidRPr="00A47AD9" w:rsidRDefault="00F30CE1" w:rsidP="00F30CE1">
            <w:pPr>
              <w:spacing w:after="0" w:line="240" w:lineRule="auto"/>
              <w:jc w:val="center"/>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Bosted</w:t>
            </w:r>
          </w:p>
        </w:tc>
        <w:tc>
          <w:tcPr>
            <w:tcW w:w="1303"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Kongsvinger</w:t>
            </w:r>
          </w:p>
        </w:tc>
        <w:tc>
          <w:tcPr>
            <w:tcW w:w="95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5459</w:t>
            </w:r>
          </w:p>
        </w:tc>
        <w:tc>
          <w:tcPr>
            <w:tcW w:w="112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65</w:t>
            </w:r>
          </w:p>
        </w:tc>
        <w:tc>
          <w:tcPr>
            <w:tcW w:w="100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336</w:t>
            </w:r>
          </w:p>
        </w:tc>
        <w:tc>
          <w:tcPr>
            <w:tcW w:w="94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172</w:t>
            </w:r>
          </w:p>
        </w:tc>
        <w:tc>
          <w:tcPr>
            <w:tcW w:w="78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160</w:t>
            </w:r>
          </w:p>
        </w:tc>
        <w:tc>
          <w:tcPr>
            <w:tcW w:w="78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33</w:t>
            </w:r>
          </w:p>
        </w:tc>
        <w:tc>
          <w:tcPr>
            <w:tcW w:w="612"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16</w:t>
            </w:r>
          </w:p>
        </w:tc>
        <w:tc>
          <w:tcPr>
            <w:tcW w:w="80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1595</w:t>
            </w:r>
          </w:p>
        </w:tc>
        <w:tc>
          <w:tcPr>
            <w:tcW w:w="103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7836</w:t>
            </w:r>
          </w:p>
        </w:tc>
      </w:tr>
      <w:tr w:rsidR="00F30CE1" w:rsidRPr="00A47AD9" w:rsidTr="00A47AD9">
        <w:trPr>
          <w:trHeight w:hRule="exac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03"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Nord-Odal</w:t>
            </w:r>
          </w:p>
        </w:tc>
        <w:tc>
          <w:tcPr>
            <w:tcW w:w="95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243</w:t>
            </w:r>
          </w:p>
        </w:tc>
        <w:tc>
          <w:tcPr>
            <w:tcW w:w="112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1204</w:t>
            </w:r>
          </w:p>
        </w:tc>
        <w:tc>
          <w:tcPr>
            <w:tcW w:w="100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210</w:t>
            </w:r>
          </w:p>
        </w:tc>
        <w:tc>
          <w:tcPr>
            <w:tcW w:w="94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w:t>
            </w:r>
          </w:p>
        </w:tc>
        <w:tc>
          <w:tcPr>
            <w:tcW w:w="78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8</w:t>
            </w:r>
          </w:p>
        </w:tc>
        <w:tc>
          <w:tcPr>
            <w:tcW w:w="78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w:t>
            </w:r>
          </w:p>
        </w:tc>
        <w:tc>
          <w:tcPr>
            <w:tcW w:w="612"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w:t>
            </w:r>
          </w:p>
        </w:tc>
        <w:tc>
          <w:tcPr>
            <w:tcW w:w="80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654</w:t>
            </w:r>
          </w:p>
        </w:tc>
        <w:tc>
          <w:tcPr>
            <w:tcW w:w="103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2328</w:t>
            </w:r>
          </w:p>
        </w:tc>
      </w:tr>
      <w:tr w:rsidR="00F30CE1" w:rsidRPr="00A47AD9" w:rsidTr="00A47AD9">
        <w:trPr>
          <w:trHeight w:hRule="exac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03"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Sør-Odal</w:t>
            </w:r>
          </w:p>
        </w:tc>
        <w:tc>
          <w:tcPr>
            <w:tcW w:w="95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700</w:t>
            </w:r>
          </w:p>
        </w:tc>
        <w:tc>
          <w:tcPr>
            <w:tcW w:w="112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106</w:t>
            </w:r>
          </w:p>
        </w:tc>
        <w:tc>
          <w:tcPr>
            <w:tcW w:w="100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1554</w:t>
            </w:r>
          </w:p>
        </w:tc>
        <w:tc>
          <w:tcPr>
            <w:tcW w:w="94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14</w:t>
            </w:r>
          </w:p>
        </w:tc>
        <w:tc>
          <w:tcPr>
            <w:tcW w:w="78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15</w:t>
            </w:r>
          </w:p>
        </w:tc>
        <w:tc>
          <w:tcPr>
            <w:tcW w:w="78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17</w:t>
            </w:r>
          </w:p>
        </w:tc>
        <w:tc>
          <w:tcPr>
            <w:tcW w:w="612"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p>
        </w:tc>
        <w:tc>
          <w:tcPr>
            <w:tcW w:w="80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1435</w:t>
            </w:r>
          </w:p>
        </w:tc>
        <w:tc>
          <w:tcPr>
            <w:tcW w:w="103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3841</w:t>
            </w:r>
          </w:p>
        </w:tc>
      </w:tr>
      <w:tr w:rsidR="00F30CE1" w:rsidRPr="00A47AD9" w:rsidTr="00A47AD9">
        <w:trPr>
          <w:trHeight w:hRule="exac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03"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Eidskog</w:t>
            </w:r>
          </w:p>
        </w:tc>
        <w:tc>
          <w:tcPr>
            <w:tcW w:w="95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693</w:t>
            </w:r>
          </w:p>
        </w:tc>
        <w:tc>
          <w:tcPr>
            <w:tcW w:w="112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6</w:t>
            </w:r>
          </w:p>
        </w:tc>
        <w:tc>
          <w:tcPr>
            <w:tcW w:w="100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35</w:t>
            </w:r>
          </w:p>
        </w:tc>
        <w:tc>
          <w:tcPr>
            <w:tcW w:w="94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1602</w:t>
            </w:r>
          </w:p>
        </w:tc>
        <w:tc>
          <w:tcPr>
            <w:tcW w:w="78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9</w:t>
            </w:r>
          </w:p>
        </w:tc>
        <w:tc>
          <w:tcPr>
            <w:tcW w:w="78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8</w:t>
            </w:r>
          </w:p>
        </w:tc>
        <w:tc>
          <w:tcPr>
            <w:tcW w:w="612"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w:t>
            </w:r>
          </w:p>
        </w:tc>
        <w:tc>
          <w:tcPr>
            <w:tcW w:w="80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466</w:t>
            </w:r>
          </w:p>
        </w:tc>
        <w:tc>
          <w:tcPr>
            <w:tcW w:w="103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2821</w:t>
            </w:r>
          </w:p>
        </w:tc>
      </w:tr>
      <w:tr w:rsidR="00F30CE1" w:rsidRPr="00A47AD9" w:rsidTr="00A47AD9">
        <w:trPr>
          <w:trHeight w:hRule="exac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03"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Grue</w:t>
            </w:r>
          </w:p>
        </w:tc>
        <w:tc>
          <w:tcPr>
            <w:tcW w:w="95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323</w:t>
            </w:r>
          </w:p>
        </w:tc>
        <w:tc>
          <w:tcPr>
            <w:tcW w:w="112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5</w:t>
            </w:r>
          </w:p>
        </w:tc>
        <w:tc>
          <w:tcPr>
            <w:tcW w:w="100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12</w:t>
            </w:r>
          </w:p>
        </w:tc>
        <w:tc>
          <w:tcPr>
            <w:tcW w:w="94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11</w:t>
            </w:r>
          </w:p>
        </w:tc>
        <w:tc>
          <w:tcPr>
            <w:tcW w:w="78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1346</w:t>
            </w:r>
          </w:p>
        </w:tc>
        <w:tc>
          <w:tcPr>
            <w:tcW w:w="78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236</w:t>
            </w:r>
          </w:p>
        </w:tc>
        <w:tc>
          <w:tcPr>
            <w:tcW w:w="612"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36</w:t>
            </w:r>
          </w:p>
        </w:tc>
        <w:tc>
          <w:tcPr>
            <w:tcW w:w="80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274</w:t>
            </w:r>
          </w:p>
        </w:tc>
        <w:tc>
          <w:tcPr>
            <w:tcW w:w="103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2243</w:t>
            </w:r>
          </w:p>
        </w:tc>
      </w:tr>
      <w:tr w:rsidR="00F30CE1" w:rsidRPr="00A47AD9" w:rsidTr="00A47AD9">
        <w:trPr>
          <w:trHeight w:hRule="exac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03"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Åsnes</w:t>
            </w:r>
          </w:p>
        </w:tc>
        <w:tc>
          <w:tcPr>
            <w:tcW w:w="95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153</w:t>
            </w:r>
          </w:p>
        </w:tc>
        <w:tc>
          <w:tcPr>
            <w:tcW w:w="112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4</w:t>
            </w:r>
          </w:p>
        </w:tc>
        <w:tc>
          <w:tcPr>
            <w:tcW w:w="100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8</w:t>
            </w:r>
          </w:p>
        </w:tc>
        <w:tc>
          <w:tcPr>
            <w:tcW w:w="94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w:t>
            </w:r>
          </w:p>
        </w:tc>
        <w:tc>
          <w:tcPr>
            <w:tcW w:w="78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241</w:t>
            </w:r>
          </w:p>
        </w:tc>
        <w:tc>
          <w:tcPr>
            <w:tcW w:w="78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2181</w:t>
            </w:r>
          </w:p>
        </w:tc>
        <w:tc>
          <w:tcPr>
            <w:tcW w:w="612"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231</w:t>
            </w:r>
          </w:p>
        </w:tc>
        <w:tc>
          <w:tcPr>
            <w:tcW w:w="80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533</w:t>
            </w:r>
          </w:p>
        </w:tc>
        <w:tc>
          <w:tcPr>
            <w:tcW w:w="103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3353</w:t>
            </w:r>
          </w:p>
        </w:tc>
      </w:tr>
      <w:tr w:rsidR="00F30CE1" w:rsidRPr="00A47AD9" w:rsidTr="00A47AD9">
        <w:trPr>
          <w:trHeight w:hRule="exac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03"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Våler</w:t>
            </w:r>
          </w:p>
        </w:tc>
        <w:tc>
          <w:tcPr>
            <w:tcW w:w="95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20</w:t>
            </w:r>
          </w:p>
        </w:tc>
        <w:tc>
          <w:tcPr>
            <w:tcW w:w="112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p>
        </w:tc>
        <w:tc>
          <w:tcPr>
            <w:tcW w:w="1001" w:type="dxa"/>
            <w:shd w:val="clear" w:color="auto" w:fill="auto"/>
            <w:noWrap/>
            <w:vAlign w:val="bottom"/>
            <w:hideMark/>
          </w:tcPr>
          <w:p w:rsidR="00F30CE1" w:rsidRPr="00A47AD9" w:rsidRDefault="00F30CE1" w:rsidP="00F30CE1">
            <w:pPr>
              <w:spacing w:after="0" w:line="240" w:lineRule="auto"/>
              <w:rPr>
                <w:rFonts w:ascii="Arial" w:eastAsia="Times New Roman" w:hAnsi="Arial" w:cs="Arial"/>
                <w:sz w:val="18"/>
                <w:szCs w:val="18"/>
                <w:lang w:eastAsia="nb-NO"/>
              </w:rPr>
            </w:pPr>
          </w:p>
        </w:tc>
        <w:tc>
          <w:tcPr>
            <w:tcW w:w="94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w:t>
            </w:r>
          </w:p>
        </w:tc>
        <w:tc>
          <w:tcPr>
            <w:tcW w:w="78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25</w:t>
            </w:r>
          </w:p>
        </w:tc>
        <w:tc>
          <w:tcPr>
            <w:tcW w:w="78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230</w:t>
            </w:r>
          </w:p>
        </w:tc>
        <w:tc>
          <w:tcPr>
            <w:tcW w:w="612"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943</w:t>
            </w:r>
          </w:p>
        </w:tc>
        <w:tc>
          <w:tcPr>
            <w:tcW w:w="80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536</w:t>
            </w:r>
          </w:p>
        </w:tc>
        <w:tc>
          <w:tcPr>
            <w:tcW w:w="103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1756</w:t>
            </w:r>
          </w:p>
        </w:tc>
      </w:tr>
      <w:tr w:rsidR="00F30CE1" w:rsidRPr="00A47AD9" w:rsidTr="00A47AD9">
        <w:trPr>
          <w:trHeight w:hRule="exac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03" w:type="dxa"/>
            <w:shd w:val="clear" w:color="000000" w:fill="D9D9D9"/>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Utenfor</w:t>
            </w:r>
          </w:p>
        </w:tc>
        <w:tc>
          <w:tcPr>
            <w:tcW w:w="95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623</w:t>
            </w:r>
          </w:p>
        </w:tc>
        <w:tc>
          <w:tcPr>
            <w:tcW w:w="112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171</w:t>
            </w:r>
          </w:p>
        </w:tc>
        <w:tc>
          <w:tcPr>
            <w:tcW w:w="100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261</w:t>
            </w:r>
          </w:p>
        </w:tc>
        <w:tc>
          <w:tcPr>
            <w:tcW w:w="94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132</w:t>
            </w:r>
          </w:p>
        </w:tc>
        <w:tc>
          <w:tcPr>
            <w:tcW w:w="78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94</w:t>
            </w:r>
          </w:p>
        </w:tc>
        <w:tc>
          <w:tcPr>
            <w:tcW w:w="78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255</w:t>
            </w:r>
          </w:p>
        </w:tc>
        <w:tc>
          <w:tcPr>
            <w:tcW w:w="612"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244</w:t>
            </w:r>
          </w:p>
        </w:tc>
        <w:tc>
          <w:tcPr>
            <w:tcW w:w="80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5493</w:t>
            </w:r>
          </w:p>
        </w:tc>
        <w:tc>
          <w:tcPr>
            <w:tcW w:w="103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22422</w:t>
            </w:r>
          </w:p>
        </w:tc>
      </w:tr>
      <w:tr w:rsidR="00F30CE1" w:rsidRPr="00A47AD9" w:rsidTr="00A47AD9">
        <w:trPr>
          <w:trHeight w:hRule="exact" w:val="227"/>
        </w:trPr>
        <w:tc>
          <w:tcPr>
            <w:tcW w:w="520"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p>
        </w:tc>
        <w:tc>
          <w:tcPr>
            <w:tcW w:w="1303" w:type="dxa"/>
            <w:shd w:val="clear" w:color="000000" w:fill="D9D9D9"/>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Arbeidsplasser</w:t>
            </w:r>
          </w:p>
        </w:tc>
        <w:tc>
          <w:tcPr>
            <w:tcW w:w="95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8214</w:t>
            </w:r>
          </w:p>
        </w:tc>
        <w:tc>
          <w:tcPr>
            <w:tcW w:w="112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1561</w:t>
            </w:r>
          </w:p>
        </w:tc>
        <w:tc>
          <w:tcPr>
            <w:tcW w:w="100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2416</w:t>
            </w:r>
          </w:p>
        </w:tc>
        <w:tc>
          <w:tcPr>
            <w:tcW w:w="94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1938</w:t>
            </w:r>
          </w:p>
        </w:tc>
        <w:tc>
          <w:tcPr>
            <w:tcW w:w="78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1898</w:t>
            </w:r>
          </w:p>
        </w:tc>
        <w:tc>
          <w:tcPr>
            <w:tcW w:w="781"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2963</w:t>
            </w:r>
          </w:p>
        </w:tc>
        <w:tc>
          <w:tcPr>
            <w:tcW w:w="612"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1475</w:t>
            </w:r>
          </w:p>
        </w:tc>
        <w:tc>
          <w:tcPr>
            <w:tcW w:w="80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20465</w:t>
            </w:r>
          </w:p>
        </w:tc>
        <w:tc>
          <w:tcPr>
            <w:tcW w:w="1033" w:type="dxa"/>
            <w:shd w:val="clear" w:color="auto" w:fill="auto"/>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p>
        </w:tc>
      </w:tr>
    </w:tbl>
    <w:p w:rsidR="00F30CE1" w:rsidRPr="00F37EE8" w:rsidRDefault="00F30CE1" w:rsidP="00F30CE1">
      <w:pPr>
        <w:pStyle w:val="Bildetekst"/>
        <w:keepNext/>
        <w:rPr>
          <w:sz w:val="2"/>
          <w:szCs w:val="2"/>
        </w:rPr>
      </w:pPr>
    </w:p>
    <w:tbl>
      <w:tblPr>
        <w:tblW w:w="992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tblPr>
      <w:tblGrid>
        <w:gridCol w:w="520"/>
        <w:gridCol w:w="1341"/>
        <w:gridCol w:w="1019"/>
        <w:gridCol w:w="1174"/>
        <w:gridCol w:w="1063"/>
        <w:gridCol w:w="963"/>
        <w:gridCol w:w="806"/>
        <w:gridCol w:w="1024"/>
        <w:gridCol w:w="831"/>
        <w:gridCol w:w="1184"/>
      </w:tblGrid>
      <w:tr w:rsidR="00F30CE1" w:rsidRPr="00A47AD9" w:rsidTr="00A47AD9">
        <w:trPr>
          <w:trHeight w:val="300"/>
        </w:trPr>
        <w:tc>
          <w:tcPr>
            <w:tcW w:w="520" w:type="dxa"/>
            <w:shd w:val="clear" w:color="auto" w:fill="auto"/>
            <w:noWrap/>
            <w:vAlign w:val="bottom"/>
            <w:hideMark/>
          </w:tcPr>
          <w:p w:rsidR="00F30CE1" w:rsidRPr="00A47AD9" w:rsidRDefault="00F30CE1" w:rsidP="00F30CE1">
            <w:pPr>
              <w:spacing w:after="0" w:line="240" w:lineRule="auto"/>
              <w:rPr>
                <w:rFonts w:ascii="Arial" w:eastAsia="Times New Roman" w:hAnsi="Arial" w:cs="Arial"/>
                <w:sz w:val="18"/>
                <w:szCs w:val="18"/>
                <w:lang w:eastAsia="nb-NO"/>
              </w:rPr>
            </w:pPr>
          </w:p>
        </w:tc>
        <w:tc>
          <w:tcPr>
            <w:tcW w:w="1341" w:type="dxa"/>
            <w:shd w:val="clear" w:color="auto" w:fill="auto"/>
            <w:noWrap/>
            <w:vAlign w:val="bottom"/>
            <w:hideMark/>
          </w:tcPr>
          <w:p w:rsidR="00F30CE1" w:rsidRPr="00A47AD9" w:rsidRDefault="00F30CE1" w:rsidP="00F30CE1">
            <w:pPr>
              <w:spacing w:after="0" w:line="240" w:lineRule="auto"/>
              <w:rPr>
                <w:rFonts w:ascii="Arial" w:eastAsia="Times New Roman" w:hAnsi="Arial" w:cs="Arial"/>
                <w:sz w:val="18"/>
                <w:szCs w:val="18"/>
                <w:lang w:eastAsia="nb-NO"/>
              </w:rPr>
            </w:pPr>
          </w:p>
        </w:tc>
        <w:tc>
          <w:tcPr>
            <w:tcW w:w="8064" w:type="dxa"/>
            <w:gridSpan w:val="8"/>
            <w:shd w:val="clear" w:color="000000" w:fill="BDD7EE"/>
            <w:noWrap/>
            <w:vAlign w:val="bottom"/>
            <w:hideMark/>
          </w:tcPr>
          <w:p w:rsidR="00F30CE1" w:rsidRPr="00A47AD9" w:rsidRDefault="00F30CE1" w:rsidP="00F30CE1">
            <w:pPr>
              <w:spacing w:after="0" w:line="240" w:lineRule="auto"/>
              <w:jc w:val="center"/>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Arbeidssted</w:t>
            </w:r>
          </w:p>
        </w:tc>
      </w:tr>
      <w:tr w:rsidR="00F30CE1" w:rsidRPr="00A47AD9" w:rsidTr="00A47AD9">
        <w:trPr>
          <w:trHeight w:val="300"/>
        </w:trPr>
        <w:tc>
          <w:tcPr>
            <w:tcW w:w="520" w:type="dxa"/>
            <w:vMerge w:val="restart"/>
            <w:shd w:val="clear" w:color="000000" w:fill="BDD7EE"/>
            <w:noWrap/>
            <w:textDirection w:val="btLr"/>
            <w:vAlign w:val="center"/>
            <w:hideMark/>
          </w:tcPr>
          <w:p w:rsidR="00F30CE1" w:rsidRPr="00A47AD9" w:rsidRDefault="00F30CE1" w:rsidP="00F30CE1">
            <w:pPr>
              <w:spacing w:after="0" w:line="240" w:lineRule="auto"/>
              <w:jc w:val="center"/>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Bosted</w:t>
            </w:r>
          </w:p>
        </w:tc>
        <w:tc>
          <w:tcPr>
            <w:tcW w:w="1341" w:type="dxa"/>
            <w:shd w:val="clear" w:color="auto" w:fill="auto"/>
            <w:noWrap/>
            <w:vAlign w:val="bottom"/>
            <w:hideMark/>
          </w:tcPr>
          <w:p w:rsidR="00F30CE1" w:rsidRPr="00A47AD9" w:rsidRDefault="00F30CE1" w:rsidP="00F30CE1">
            <w:pPr>
              <w:spacing w:after="0" w:line="240" w:lineRule="auto"/>
              <w:jc w:val="center"/>
              <w:rPr>
                <w:rFonts w:ascii="Arial" w:eastAsia="Times New Roman" w:hAnsi="Arial" w:cs="Arial"/>
                <w:color w:val="000000"/>
                <w:sz w:val="18"/>
                <w:szCs w:val="18"/>
                <w:lang w:eastAsia="nb-NO"/>
              </w:rPr>
            </w:pPr>
          </w:p>
        </w:tc>
        <w:tc>
          <w:tcPr>
            <w:tcW w:w="1019" w:type="dxa"/>
            <w:shd w:val="clear" w:color="5B9BD5" w:fill="FCE4D6"/>
            <w:noWrap/>
            <w:vAlign w:val="bottom"/>
            <w:hideMark/>
          </w:tcPr>
          <w:p w:rsidR="00F30CE1" w:rsidRPr="00A47AD9" w:rsidRDefault="00F30CE1" w:rsidP="00F30CE1">
            <w:pPr>
              <w:spacing w:after="0" w:line="240" w:lineRule="auto"/>
              <w:rPr>
                <w:rFonts w:ascii="Arial" w:eastAsia="Times New Roman" w:hAnsi="Arial" w:cs="Arial"/>
                <w:sz w:val="18"/>
                <w:szCs w:val="18"/>
                <w:lang w:eastAsia="nb-NO"/>
              </w:rPr>
            </w:pPr>
            <w:proofErr w:type="spellStart"/>
            <w:r w:rsidRPr="00A47AD9">
              <w:rPr>
                <w:rFonts w:ascii="Arial" w:eastAsia="Times New Roman" w:hAnsi="Arial" w:cs="Arial"/>
                <w:sz w:val="18"/>
                <w:szCs w:val="18"/>
                <w:lang w:eastAsia="nb-NO"/>
              </w:rPr>
              <w:t>Kongsvi</w:t>
            </w:r>
            <w:proofErr w:type="spellEnd"/>
            <w:r w:rsidRPr="00A47AD9">
              <w:rPr>
                <w:rFonts w:ascii="Arial" w:eastAsia="Times New Roman" w:hAnsi="Arial" w:cs="Arial"/>
                <w:sz w:val="18"/>
                <w:szCs w:val="18"/>
                <w:lang w:eastAsia="nb-NO"/>
              </w:rPr>
              <w:t>.</w:t>
            </w:r>
          </w:p>
        </w:tc>
        <w:tc>
          <w:tcPr>
            <w:tcW w:w="1174" w:type="dxa"/>
            <w:shd w:val="clear" w:color="5B9BD5" w:fill="FCE4D6"/>
            <w:noWrap/>
            <w:vAlign w:val="bottom"/>
            <w:hideMark/>
          </w:tcPr>
          <w:p w:rsidR="00F30CE1" w:rsidRPr="00A47AD9" w:rsidRDefault="00F30CE1" w:rsidP="00F30CE1">
            <w:pPr>
              <w:spacing w:after="0" w:line="240" w:lineRule="auto"/>
              <w:rPr>
                <w:rFonts w:ascii="Arial" w:eastAsia="Times New Roman" w:hAnsi="Arial" w:cs="Arial"/>
                <w:sz w:val="18"/>
                <w:szCs w:val="18"/>
                <w:lang w:eastAsia="nb-NO"/>
              </w:rPr>
            </w:pPr>
            <w:r w:rsidRPr="00A47AD9">
              <w:rPr>
                <w:rFonts w:ascii="Arial" w:eastAsia="Times New Roman" w:hAnsi="Arial" w:cs="Arial"/>
                <w:sz w:val="18"/>
                <w:szCs w:val="18"/>
                <w:lang w:eastAsia="nb-NO"/>
              </w:rPr>
              <w:t>Nord-Odal</w:t>
            </w:r>
          </w:p>
        </w:tc>
        <w:tc>
          <w:tcPr>
            <w:tcW w:w="1063" w:type="dxa"/>
            <w:shd w:val="clear" w:color="5B9BD5" w:fill="FCE4D6"/>
            <w:noWrap/>
            <w:vAlign w:val="bottom"/>
            <w:hideMark/>
          </w:tcPr>
          <w:p w:rsidR="00F30CE1" w:rsidRPr="00A47AD9" w:rsidRDefault="00F30CE1" w:rsidP="00F30CE1">
            <w:pPr>
              <w:spacing w:after="0" w:line="240" w:lineRule="auto"/>
              <w:rPr>
                <w:rFonts w:ascii="Arial" w:eastAsia="Times New Roman" w:hAnsi="Arial" w:cs="Arial"/>
                <w:sz w:val="18"/>
                <w:szCs w:val="18"/>
                <w:lang w:eastAsia="nb-NO"/>
              </w:rPr>
            </w:pPr>
            <w:r w:rsidRPr="00A47AD9">
              <w:rPr>
                <w:rFonts w:ascii="Arial" w:eastAsia="Times New Roman" w:hAnsi="Arial" w:cs="Arial"/>
                <w:sz w:val="18"/>
                <w:szCs w:val="18"/>
                <w:lang w:eastAsia="nb-NO"/>
              </w:rPr>
              <w:t>Sør-Odal</w:t>
            </w:r>
          </w:p>
        </w:tc>
        <w:tc>
          <w:tcPr>
            <w:tcW w:w="963" w:type="dxa"/>
            <w:shd w:val="clear" w:color="5B9BD5" w:fill="FCE4D6"/>
            <w:noWrap/>
            <w:vAlign w:val="bottom"/>
            <w:hideMark/>
          </w:tcPr>
          <w:p w:rsidR="00F30CE1" w:rsidRPr="00A47AD9" w:rsidRDefault="00F30CE1" w:rsidP="00F30CE1">
            <w:pPr>
              <w:spacing w:after="0" w:line="240" w:lineRule="auto"/>
              <w:rPr>
                <w:rFonts w:ascii="Arial" w:eastAsia="Times New Roman" w:hAnsi="Arial" w:cs="Arial"/>
                <w:bCs/>
                <w:sz w:val="18"/>
                <w:szCs w:val="18"/>
                <w:lang w:eastAsia="nb-NO"/>
              </w:rPr>
            </w:pPr>
            <w:r w:rsidRPr="00A47AD9">
              <w:rPr>
                <w:rFonts w:ascii="Arial" w:eastAsia="Times New Roman" w:hAnsi="Arial" w:cs="Arial"/>
                <w:bCs/>
                <w:sz w:val="18"/>
                <w:szCs w:val="18"/>
                <w:lang w:eastAsia="nb-NO"/>
              </w:rPr>
              <w:t>Eidskog</w:t>
            </w:r>
          </w:p>
        </w:tc>
        <w:tc>
          <w:tcPr>
            <w:tcW w:w="806" w:type="dxa"/>
            <w:shd w:val="clear" w:color="5B9BD5" w:fill="FCE4D6"/>
            <w:noWrap/>
            <w:vAlign w:val="bottom"/>
            <w:hideMark/>
          </w:tcPr>
          <w:p w:rsidR="00F30CE1" w:rsidRPr="00A47AD9" w:rsidRDefault="00F30CE1" w:rsidP="00F30CE1">
            <w:pPr>
              <w:spacing w:after="0" w:line="240" w:lineRule="auto"/>
              <w:rPr>
                <w:rFonts w:ascii="Arial" w:eastAsia="Times New Roman" w:hAnsi="Arial" w:cs="Arial"/>
                <w:bCs/>
                <w:sz w:val="18"/>
                <w:szCs w:val="18"/>
                <w:lang w:eastAsia="nb-NO"/>
              </w:rPr>
            </w:pPr>
            <w:r w:rsidRPr="00A47AD9">
              <w:rPr>
                <w:rFonts w:ascii="Arial" w:eastAsia="Times New Roman" w:hAnsi="Arial" w:cs="Arial"/>
                <w:bCs/>
                <w:sz w:val="18"/>
                <w:szCs w:val="18"/>
                <w:lang w:eastAsia="nb-NO"/>
              </w:rPr>
              <w:t>Grue</w:t>
            </w:r>
          </w:p>
        </w:tc>
        <w:tc>
          <w:tcPr>
            <w:tcW w:w="1024" w:type="dxa"/>
            <w:shd w:val="clear" w:color="5B9BD5" w:fill="FCE4D6"/>
            <w:noWrap/>
            <w:vAlign w:val="bottom"/>
            <w:hideMark/>
          </w:tcPr>
          <w:p w:rsidR="00F30CE1" w:rsidRPr="00A47AD9" w:rsidRDefault="00F30CE1" w:rsidP="00F30CE1">
            <w:pPr>
              <w:spacing w:after="0" w:line="240" w:lineRule="auto"/>
              <w:rPr>
                <w:rFonts w:ascii="Arial" w:eastAsia="Times New Roman" w:hAnsi="Arial" w:cs="Arial"/>
                <w:bCs/>
                <w:sz w:val="18"/>
                <w:szCs w:val="18"/>
                <w:lang w:eastAsia="nb-NO"/>
              </w:rPr>
            </w:pPr>
            <w:r w:rsidRPr="00A47AD9">
              <w:rPr>
                <w:rFonts w:ascii="Arial" w:eastAsia="Times New Roman" w:hAnsi="Arial" w:cs="Arial"/>
                <w:bCs/>
                <w:sz w:val="18"/>
                <w:szCs w:val="18"/>
                <w:lang w:eastAsia="nb-NO"/>
              </w:rPr>
              <w:t>Åsnes</w:t>
            </w:r>
          </w:p>
        </w:tc>
        <w:tc>
          <w:tcPr>
            <w:tcW w:w="831" w:type="dxa"/>
            <w:shd w:val="clear" w:color="000000" w:fill="FCE4D6"/>
            <w:noWrap/>
            <w:vAlign w:val="bottom"/>
            <w:hideMark/>
          </w:tcPr>
          <w:p w:rsidR="00F30CE1" w:rsidRPr="00A47AD9" w:rsidRDefault="00F30CE1" w:rsidP="00F30CE1">
            <w:pPr>
              <w:spacing w:after="0" w:line="240" w:lineRule="auto"/>
              <w:rPr>
                <w:rFonts w:ascii="Arial" w:eastAsia="Times New Roman" w:hAnsi="Arial" w:cs="Arial"/>
                <w:bCs/>
                <w:sz w:val="18"/>
                <w:szCs w:val="18"/>
                <w:lang w:eastAsia="nb-NO"/>
              </w:rPr>
            </w:pPr>
            <w:r w:rsidRPr="00A47AD9">
              <w:rPr>
                <w:rFonts w:ascii="Arial" w:eastAsia="Times New Roman" w:hAnsi="Arial" w:cs="Arial"/>
                <w:bCs/>
                <w:sz w:val="18"/>
                <w:szCs w:val="18"/>
                <w:lang w:eastAsia="nb-NO"/>
              </w:rPr>
              <w:t>Våler</w:t>
            </w:r>
          </w:p>
        </w:tc>
        <w:tc>
          <w:tcPr>
            <w:tcW w:w="1184"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Utenfor</w:t>
            </w:r>
          </w:p>
        </w:tc>
      </w:tr>
      <w:tr w:rsidR="00F30CE1" w:rsidRPr="00A47AD9" w:rsidTr="00A47AD9">
        <w:trPr>
          <w:trHeight w:hRule="exac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41"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Kongsvinger</w:t>
            </w:r>
          </w:p>
        </w:tc>
        <w:tc>
          <w:tcPr>
            <w:tcW w:w="1019" w:type="dxa"/>
            <w:shd w:val="clear" w:color="000000" w:fill="FFFF00"/>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69,7</w:t>
            </w:r>
          </w:p>
        </w:tc>
        <w:tc>
          <w:tcPr>
            <w:tcW w:w="1174" w:type="dxa"/>
            <w:shd w:val="clear" w:color="000000" w:fill="FAFB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0,8</w:t>
            </w:r>
          </w:p>
        </w:tc>
        <w:tc>
          <w:tcPr>
            <w:tcW w:w="1063" w:type="dxa"/>
            <w:shd w:val="clear" w:color="000000" w:fill="E3EAF6"/>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4,3</w:t>
            </w:r>
          </w:p>
        </w:tc>
        <w:tc>
          <w:tcPr>
            <w:tcW w:w="963" w:type="dxa"/>
            <w:shd w:val="clear" w:color="000000" w:fill="F1F4FB"/>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2,2</w:t>
            </w:r>
          </w:p>
        </w:tc>
        <w:tc>
          <w:tcPr>
            <w:tcW w:w="806" w:type="dxa"/>
            <w:shd w:val="clear" w:color="000000" w:fill="F2F5FC"/>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2,0</w:t>
            </w:r>
          </w:p>
        </w:tc>
        <w:tc>
          <w:tcPr>
            <w:tcW w:w="1024" w:type="dxa"/>
            <w:shd w:val="clear" w:color="000000" w:fill="FBEDF0"/>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0,4</w:t>
            </w:r>
          </w:p>
        </w:tc>
        <w:tc>
          <w:tcPr>
            <w:tcW w:w="831" w:type="dxa"/>
            <w:shd w:val="clear" w:color="000000" w:fill="F9A9AB"/>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0,2</w:t>
            </w:r>
          </w:p>
        </w:tc>
        <w:tc>
          <w:tcPr>
            <w:tcW w:w="1184"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20,4</w:t>
            </w:r>
          </w:p>
        </w:tc>
      </w:tr>
      <w:tr w:rsidR="00F30CE1" w:rsidRPr="00A47AD9" w:rsidTr="00A47AD9">
        <w:trPr>
          <w:trHeight w:hRule="exac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41"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Nord-Odal</w:t>
            </w:r>
          </w:p>
        </w:tc>
        <w:tc>
          <w:tcPr>
            <w:tcW w:w="1019" w:type="dxa"/>
            <w:shd w:val="clear" w:color="000000" w:fill="B9CDE8"/>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10,4</w:t>
            </w:r>
          </w:p>
        </w:tc>
        <w:tc>
          <w:tcPr>
            <w:tcW w:w="1174" w:type="dxa"/>
            <w:shd w:val="clear" w:color="000000" w:fill="FFFF00"/>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51,7</w:t>
            </w:r>
          </w:p>
        </w:tc>
        <w:tc>
          <w:tcPr>
            <w:tcW w:w="1063" w:type="dxa"/>
            <w:shd w:val="clear" w:color="000000" w:fill="C3D4EB"/>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9,0</w:t>
            </w:r>
          </w:p>
        </w:tc>
        <w:tc>
          <w:tcPr>
            <w:tcW w:w="963" w:type="dxa"/>
            <w:shd w:val="clear" w:color="000000" w:fill="F99193"/>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806" w:type="dxa"/>
            <w:shd w:val="clear" w:color="000000" w:fill="FAD5D8"/>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0,3</w:t>
            </w:r>
          </w:p>
        </w:tc>
        <w:tc>
          <w:tcPr>
            <w:tcW w:w="1024" w:type="dxa"/>
            <w:shd w:val="clear" w:color="000000" w:fill="F99193"/>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831" w:type="dxa"/>
            <w:shd w:val="clear" w:color="000000" w:fill="F99193"/>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1184"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28,1</w:t>
            </w:r>
          </w:p>
        </w:tc>
      </w:tr>
      <w:tr w:rsidR="00F30CE1" w:rsidRPr="00A47AD9" w:rsidTr="00A47AD9">
        <w:trPr>
          <w:trHeight w:hRule="exac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41"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Sør-Odal</w:t>
            </w:r>
          </w:p>
        </w:tc>
        <w:tc>
          <w:tcPr>
            <w:tcW w:w="1019" w:type="dxa"/>
            <w:shd w:val="clear" w:color="000000" w:fill="85A8D5"/>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18,2</w:t>
            </w:r>
          </w:p>
        </w:tc>
        <w:tc>
          <w:tcPr>
            <w:tcW w:w="1174" w:type="dxa"/>
            <w:shd w:val="clear" w:color="000000" w:fill="EDF2FA"/>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2,8</w:t>
            </w:r>
          </w:p>
        </w:tc>
        <w:tc>
          <w:tcPr>
            <w:tcW w:w="1063" w:type="dxa"/>
            <w:shd w:val="clear" w:color="000000" w:fill="FFFF00"/>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40,5</w:t>
            </w:r>
          </w:p>
        </w:tc>
        <w:tc>
          <w:tcPr>
            <w:tcW w:w="963" w:type="dxa"/>
            <w:shd w:val="clear" w:color="000000" w:fill="FBDBDE"/>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0,4</w:t>
            </w:r>
          </w:p>
        </w:tc>
        <w:tc>
          <w:tcPr>
            <w:tcW w:w="806" w:type="dxa"/>
            <w:shd w:val="clear" w:color="000000" w:fill="FBE4E6"/>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0,4</w:t>
            </w:r>
          </w:p>
        </w:tc>
        <w:tc>
          <w:tcPr>
            <w:tcW w:w="1024" w:type="dxa"/>
            <w:shd w:val="clear" w:color="000000" w:fill="FBF4F7"/>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0,4</w:t>
            </w:r>
          </w:p>
        </w:tc>
        <w:tc>
          <w:tcPr>
            <w:tcW w:w="831" w:type="dxa"/>
            <w:shd w:val="clear" w:color="000000" w:fill="F8696B"/>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0,0</w:t>
            </w:r>
          </w:p>
        </w:tc>
        <w:tc>
          <w:tcPr>
            <w:tcW w:w="1184"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37,4</w:t>
            </w:r>
          </w:p>
        </w:tc>
      </w:tr>
      <w:tr w:rsidR="00F30CE1" w:rsidRPr="00A47AD9" w:rsidTr="00A47AD9">
        <w:trPr>
          <w:trHeight w:hRule="exac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41"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Eidskog</w:t>
            </w:r>
          </w:p>
        </w:tc>
        <w:tc>
          <w:tcPr>
            <w:tcW w:w="1019" w:type="dxa"/>
            <w:shd w:val="clear" w:color="000000" w:fill="5A8AC6"/>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24,6</w:t>
            </w:r>
          </w:p>
        </w:tc>
        <w:tc>
          <w:tcPr>
            <w:tcW w:w="1174" w:type="dxa"/>
            <w:shd w:val="clear" w:color="000000" w:fill="F9ACAE"/>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0,2</w:t>
            </w:r>
          </w:p>
        </w:tc>
        <w:tc>
          <w:tcPr>
            <w:tcW w:w="1063" w:type="dxa"/>
            <w:shd w:val="clear" w:color="000000" w:fill="F7F9FE"/>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1,2</w:t>
            </w:r>
          </w:p>
        </w:tc>
        <w:tc>
          <w:tcPr>
            <w:tcW w:w="963" w:type="dxa"/>
            <w:shd w:val="clear" w:color="000000" w:fill="FFFF00"/>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56,8</w:t>
            </w:r>
          </w:p>
        </w:tc>
        <w:tc>
          <w:tcPr>
            <w:tcW w:w="806" w:type="dxa"/>
            <w:shd w:val="clear" w:color="000000" w:fill="FACDD0"/>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0,3</w:t>
            </w:r>
          </w:p>
        </w:tc>
        <w:tc>
          <w:tcPr>
            <w:tcW w:w="1024" w:type="dxa"/>
            <w:shd w:val="clear" w:color="000000" w:fill="FAC2C4"/>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0,3</w:t>
            </w:r>
          </w:p>
        </w:tc>
        <w:tc>
          <w:tcPr>
            <w:tcW w:w="831" w:type="dxa"/>
            <w:shd w:val="clear" w:color="000000" w:fill="F87F81"/>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1184"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16,5</w:t>
            </w:r>
          </w:p>
        </w:tc>
      </w:tr>
      <w:tr w:rsidR="00F30CE1" w:rsidRPr="00A47AD9" w:rsidTr="00A47AD9">
        <w:trPr>
          <w:trHeight w:hRule="exac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41"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Grue</w:t>
            </w:r>
          </w:p>
        </w:tc>
        <w:tc>
          <w:tcPr>
            <w:tcW w:w="1019" w:type="dxa"/>
            <w:shd w:val="clear" w:color="000000" w:fill="9FBBD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14,4</w:t>
            </w:r>
          </w:p>
        </w:tc>
        <w:tc>
          <w:tcPr>
            <w:tcW w:w="1174" w:type="dxa"/>
            <w:shd w:val="clear" w:color="000000" w:fill="F9AFB1"/>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0,2</w:t>
            </w:r>
          </w:p>
        </w:tc>
        <w:tc>
          <w:tcPr>
            <w:tcW w:w="1063" w:type="dxa"/>
            <w:shd w:val="clear" w:color="000000" w:fill="FCFC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0,5</w:t>
            </w:r>
          </w:p>
        </w:tc>
        <w:tc>
          <w:tcPr>
            <w:tcW w:w="963" w:type="dxa"/>
            <w:shd w:val="clear" w:color="000000" w:fill="FCFC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0,5</w:t>
            </w:r>
          </w:p>
        </w:tc>
        <w:tc>
          <w:tcPr>
            <w:tcW w:w="806" w:type="dxa"/>
            <w:shd w:val="clear" w:color="000000" w:fill="FFFF00"/>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60,0</w:t>
            </w:r>
          </w:p>
        </w:tc>
        <w:tc>
          <w:tcPr>
            <w:tcW w:w="1024" w:type="dxa"/>
            <w:shd w:val="clear" w:color="000000" w:fill="B9CDE8"/>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10,5</w:t>
            </w:r>
          </w:p>
        </w:tc>
        <w:tc>
          <w:tcPr>
            <w:tcW w:w="831" w:type="dxa"/>
            <w:shd w:val="clear" w:color="000000" w:fill="F5F7F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1,6</w:t>
            </w:r>
          </w:p>
        </w:tc>
        <w:tc>
          <w:tcPr>
            <w:tcW w:w="1184"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12,2</w:t>
            </w:r>
          </w:p>
        </w:tc>
      </w:tr>
      <w:tr w:rsidR="00F30CE1" w:rsidRPr="00A47AD9" w:rsidTr="00A47AD9">
        <w:trPr>
          <w:trHeight w:hRule="exac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41"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Åsnes</w:t>
            </w:r>
          </w:p>
        </w:tc>
        <w:tc>
          <w:tcPr>
            <w:tcW w:w="1019" w:type="dxa"/>
            <w:shd w:val="clear" w:color="000000" w:fill="E1E9F6"/>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4,6</w:t>
            </w:r>
          </w:p>
        </w:tc>
        <w:tc>
          <w:tcPr>
            <w:tcW w:w="1174" w:type="dxa"/>
            <w:shd w:val="clear" w:color="000000" w:fill="F98E90"/>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1063" w:type="dxa"/>
            <w:shd w:val="clear" w:color="000000" w:fill="FAB4B6"/>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0,2</w:t>
            </w:r>
          </w:p>
        </w:tc>
        <w:tc>
          <w:tcPr>
            <w:tcW w:w="963" w:type="dxa"/>
            <w:shd w:val="clear" w:color="000000" w:fill="F87B7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806" w:type="dxa"/>
            <w:shd w:val="clear" w:color="000000" w:fill="CFDDF0"/>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7,2</w:t>
            </w:r>
          </w:p>
        </w:tc>
        <w:tc>
          <w:tcPr>
            <w:tcW w:w="1024" w:type="dxa"/>
            <w:shd w:val="clear" w:color="000000" w:fill="FFFF00"/>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65,0</w:t>
            </w:r>
          </w:p>
        </w:tc>
        <w:tc>
          <w:tcPr>
            <w:tcW w:w="831" w:type="dxa"/>
            <w:shd w:val="clear" w:color="000000" w:fill="D1DEF0"/>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6,9</w:t>
            </w:r>
          </w:p>
        </w:tc>
        <w:tc>
          <w:tcPr>
            <w:tcW w:w="1184"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15,9</w:t>
            </w:r>
          </w:p>
        </w:tc>
      </w:tr>
      <w:tr w:rsidR="00F30CE1" w:rsidRPr="00A47AD9" w:rsidTr="00A47AD9">
        <w:trPr>
          <w:trHeight w:hRule="exact" w:val="227"/>
        </w:trPr>
        <w:tc>
          <w:tcPr>
            <w:tcW w:w="520" w:type="dxa"/>
            <w:vMerge/>
            <w:shd w:val="clear" w:color="000000" w:fill="BDD7EE"/>
            <w:noWrap/>
            <w:textDirection w:val="btLr"/>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41"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Våler</w:t>
            </w:r>
          </w:p>
        </w:tc>
        <w:tc>
          <w:tcPr>
            <w:tcW w:w="1019" w:type="dxa"/>
            <w:shd w:val="clear" w:color="000000" w:fill="F8F9FE"/>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1,1</w:t>
            </w:r>
          </w:p>
        </w:tc>
        <w:tc>
          <w:tcPr>
            <w:tcW w:w="1174" w:type="dxa"/>
            <w:shd w:val="clear" w:color="000000" w:fill="F8696B"/>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0,0</w:t>
            </w:r>
          </w:p>
        </w:tc>
        <w:tc>
          <w:tcPr>
            <w:tcW w:w="1063" w:type="dxa"/>
            <w:shd w:val="clear" w:color="000000" w:fill="F8696B"/>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0,0</w:t>
            </w:r>
          </w:p>
        </w:tc>
        <w:tc>
          <w:tcPr>
            <w:tcW w:w="963" w:type="dxa"/>
            <w:shd w:val="clear" w:color="000000" w:fill="F88C8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806" w:type="dxa"/>
            <w:shd w:val="clear" w:color="000000" w:fill="F6F8F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1,4</w:t>
            </w:r>
          </w:p>
        </w:tc>
        <w:tc>
          <w:tcPr>
            <w:tcW w:w="1024" w:type="dxa"/>
            <w:shd w:val="clear" w:color="000000" w:fill="A8C1E2"/>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13,1</w:t>
            </w:r>
          </w:p>
        </w:tc>
        <w:tc>
          <w:tcPr>
            <w:tcW w:w="831" w:type="dxa"/>
            <w:shd w:val="clear" w:color="000000" w:fill="FFFF00"/>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53,7</w:t>
            </w:r>
          </w:p>
        </w:tc>
        <w:tc>
          <w:tcPr>
            <w:tcW w:w="1184"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30,5</w:t>
            </w:r>
          </w:p>
        </w:tc>
      </w:tr>
      <w:tr w:rsidR="00F30CE1" w:rsidRPr="00A47AD9" w:rsidTr="00A47AD9">
        <w:trPr>
          <w:trHeight w:hRule="exact" w:val="227"/>
        </w:trPr>
        <w:tc>
          <w:tcPr>
            <w:tcW w:w="520" w:type="dxa"/>
            <w:vMerge/>
            <w:shd w:val="clear" w:color="000000" w:fill="BDD7EE"/>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341"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Utenfor</w:t>
            </w:r>
          </w:p>
        </w:tc>
        <w:tc>
          <w:tcPr>
            <w:tcW w:w="1019"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2,8</w:t>
            </w:r>
          </w:p>
        </w:tc>
        <w:tc>
          <w:tcPr>
            <w:tcW w:w="1174"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0,8</w:t>
            </w:r>
          </w:p>
        </w:tc>
        <w:tc>
          <w:tcPr>
            <w:tcW w:w="1063"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1,2</w:t>
            </w:r>
          </w:p>
        </w:tc>
        <w:tc>
          <w:tcPr>
            <w:tcW w:w="963"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0,6</w:t>
            </w:r>
          </w:p>
        </w:tc>
        <w:tc>
          <w:tcPr>
            <w:tcW w:w="806"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0,4</w:t>
            </w:r>
          </w:p>
        </w:tc>
        <w:tc>
          <w:tcPr>
            <w:tcW w:w="1024"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1,1</w:t>
            </w:r>
          </w:p>
        </w:tc>
        <w:tc>
          <w:tcPr>
            <w:tcW w:w="831"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1,1</w:t>
            </w:r>
          </w:p>
        </w:tc>
        <w:tc>
          <w:tcPr>
            <w:tcW w:w="1184"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24,5</w:t>
            </w:r>
          </w:p>
        </w:tc>
      </w:tr>
    </w:tbl>
    <w:p w:rsidR="00F37EE8" w:rsidRDefault="00F37EE8" w:rsidP="00F37EE8"/>
    <w:p w:rsidR="00F37EE8" w:rsidRDefault="00F37EE8" w:rsidP="00F37EE8">
      <w:r>
        <w:t>I tabellen over kan vi se at det er mye pendling til Kongsvinger fra Nord-Odal, Sør-Odal, Eidskog og Grue, men mindre fra Åsnes og Våler. Utviklingen i arbeidsmarkedet i Kongsvinger blir dermed viktig for bosettingen i hele regionen. Nord-Odal og Sør-Odal har mye intern pendling. Det samme har Grue og Åsnes og Åsnes og Våler.</w:t>
      </w:r>
    </w:p>
    <w:p w:rsidR="00F37EE8" w:rsidRDefault="00F37EE8" w:rsidP="00F37EE8">
      <w:r>
        <w:t>I Kongsvinger arbeider 69,7 prosent av de som har jobb i egen kommune. Det betyr at litt over 30 prosent av de som bor i Kongsvinger og har arbeid pendler ut av kommunen. I de andre kommunene er det høyere andel som pendler ut. I Sør-Odal er det nesten 60 prosent av de sysselsatte i kommunen som pendler ut.</w:t>
      </w:r>
    </w:p>
    <w:p w:rsidR="00F37EE8" w:rsidRDefault="00F30CE1" w:rsidP="00A47AD9">
      <w:pPr>
        <w:pStyle w:val="Bildetekst"/>
        <w:keepNext/>
      </w:pPr>
      <w:r>
        <w:t xml:space="preserve"> </w:t>
      </w:r>
      <w:r w:rsidR="00F37EE8">
        <w:br w:type="page"/>
      </w:r>
    </w:p>
    <w:p w:rsidR="00F37EE8" w:rsidRDefault="00F37EE8" w:rsidP="00F37EE8">
      <w:pPr>
        <w:pStyle w:val="Overskrift3"/>
      </w:pPr>
      <w:r>
        <w:lastRenderedPageBreak/>
        <w:t>Endringer i pendlingsmønsteret</w:t>
      </w:r>
    </w:p>
    <w:p w:rsidR="006B070B" w:rsidRDefault="00AC2A84" w:rsidP="006B070B">
      <w:r>
        <w:t>Det er også interessant å se hvordan pendlingen har utviklet seg. I tabellen under viser vi endringer i andelene av de sysselsatte som arbeider på ulike steder fra 2000 til 2013.</w:t>
      </w:r>
    </w:p>
    <w:p w:rsidR="00AC2A84" w:rsidRDefault="00AC2A84" w:rsidP="00AC2A84">
      <w:pPr>
        <w:pStyle w:val="Bildetekst"/>
        <w:keepNext/>
      </w:pPr>
      <w:r>
        <w:t xml:space="preserve">Tabell </w:t>
      </w:r>
      <w:r w:rsidR="004B3D9E">
        <w:fldChar w:fldCharType="begin"/>
      </w:r>
      <w:r>
        <w:instrText xml:space="preserve"> SEQ Tabell \* ARABIC </w:instrText>
      </w:r>
      <w:r w:rsidR="004B3D9E">
        <w:fldChar w:fldCharType="separate"/>
      </w:r>
      <w:r w:rsidR="00CD5BFF">
        <w:rPr>
          <w:noProof/>
        </w:rPr>
        <w:t>6</w:t>
      </w:r>
      <w:r w:rsidR="004B3D9E">
        <w:fldChar w:fldCharType="end"/>
      </w:r>
      <w:r>
        <w:t>: Endringer i pendling, målt som prosentvis andel av samlet sysselsetting.</w:t>
      </w:r>
    </w:p>
    <w:tbl>
      <w:tblPr>
        <w:tblW w:w="98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tblPr>
      <w:tblGrid>
        <w:gridCol w:w="520"/>
        <w:gridCol w:w="1500"/>
        <w:gridCol w:w="974"/>
        <w:gridCol w:w="1174"/>
        <w:gridCol w:w="1063"/>
        <w:gridCol w:w="963"/>
        <w:gridCol w:w="806"/>
        <w:gridCol w:w="1024"/>
        <w:gridCol w:w="831"/>
        <w:gridCol w:w="950"/>
      </w:tblGrid>
      <w:tr w:rsidR="00F30CE1" w:rsidRPr="00A47AD9" w:rsidTr="00A47AD9">
        <w:trPr>
          <w:cantSplit/>
          <w:trHeight w:val="227"/>
        </w:trPr>
        <w:tc>
          <w:tcPr>
            <w:tcW w:w="520" w:type="dxa"/>
            <w:shd w:val="clear" w:color="auto" w:fill="auto"/>
            <w:noWrap/>
            <w:vAlign w:val="bottom"/>
            <w:hideMark/>
          </w:tcPr>
          <w:p w:rsidR="00F30CE1" w:rsidRPr="00A47AD9" w:rsidRDefault="00F30CE1" w:rsidP="00F30CE1">
            <w:pPr>
              <w:spacing w:after="0" w:line="240" w:lineRule="auto"/>
              <w:rPr>
                <w:rFonts w:ascii="Arial" w:eastAsia="Times New Roman" w:hAnsi="Arial" w:cs="Arial"/>
                <w:sz w:val="18"/>
                <w:szCs w:val="18"/>
                <w:lang w:eastAsia="nb-NO"/>
              </w:rPr>
            </w:pPr>
          </w:p>
        </w:tc>
        <w:tc>
          <w:tcPr>
            <w:tcW w:w="1500" w:type="dxa"/>
            <w:shd w:val="clear" w:color="auto" w:fill="auto"/>
            <w:noWrap/>
            <w:vAlign w:val="bottom"/>
            <w:hideMark/>
          </w:tcPr>
          <w:p w:rsidR="00F30CE1" w:rsidRPr="00A47AD9" w:rsidRDefault="00F30CE1" w:rsidP="00F30CE1">
            <w:pPr>
              <w:spacing w:after="0" w:line="240" w:lineRule="auto"/>
              <w:rPr>
                <w:rFonts w:ascii="Arial" w:eastAsia="Times New Roman" w:hAnsi="Arial" w:cs="Arial"/>
                <w:sz w:val="18"/>
                <w:szCs w:val="18"/>
                <w:lang w:eastAsia="nb-NO"/>
              </w:rPr>
            </w:pPr>
          </w:p>
        </w:tc>
        <w:tc>
          <w:tcPr>
            <w:tcW w:w="7785" w:type="dxa"/>
            <w:gridSpan w:val="8"/>
            <w:shd w:val="clear" w:color="000000" w:fill="BDD7EE"/>
            <w:noWrap/>
            <w:vAlign w:val="bottom"/>
            <w:hideMark/>
          </w:tcPr>
          <w:p w:rsidR="00F30CE1" w:rsidRPr="00A47AD9" w:rsidRDefault="00F30CE1" w:rsidP="00F30CE1">
            <w:pPr>
              <w:spacing w:after="0" w:line="240" w:lineRule="auto"/>
              <w:jc w:val="center"/>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Arbeidssted</w:t>
            </w:r>
          </w:p>
        </w:tc>
      </w:tr>
      <w:tr w:rsidR="00F30CE1" w:rsidRPr="00A47AD9" w:rsidTr="00A47AD9">
        <w:trPr>
          <w:cantSplit/>
          <w:trHeight w:val="227"/>
        </w:trPr>
        <w:tc>
          <w:tcPr>
            <w:tcW w:w="520" w:type="dxa"/>
            <w:vMerge w:val="restart"/>
            <w:shd w:val="clear" w:color="000000" w:fill="BDD7EE"/>
            <w:noWrap/>
            <w:textDirection w:val="btLr"/>
            <w:vAlign w:val="center"/>
            <w:hideMark/>
          </w:tcPr>
          <w:p w:rsidR="00F30CE1" w:rsidRPr="00A47AD9" w:rsidRDefault="00F30CE1" w:rsidP="00F30CE1">
            <w:pPr>
              <w:spacing w:after="0" w:line="240" w:lineRule="auto"/>
              <w:jc w:val="center"/>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Bosted</w:t>
            </w:r>
          </w:p>
        </w:tc>
        <w:tc>
          <w:tcPr>
            <w:tcW w:w="1500" w:type="dxa"/>
            <w:shd w:val="clear" w:color="auto" w:fill="auto"/>
            <w:noWrap/>
            <w:vAlign w:val="bottom"/>
            <w:hideMark/>
          </w:tcPr>
          <w:p w:rsidR="00F30CE1" w:rsidRPr="00A47AD9" w:rsidRDefault="00F30CE1" w:rsidP="00F30CE1">
            <w:pPr>
              <w:spacing w:after="0" w:line="240" w:lineRule="auto"/>
              <w:jc w:val="center"/>
              <w:rPr>
                <w:rFonts w:ascii="Arial" w:eastAsia="Times New Roman" w:hAnsi="Arial" w:cs="Arial"/>
                <w:color w:val="000000"/>
                <w:sz w:val="18"/>
                <w:szCs w:val="18"/>
                <w:lang w:eastAsia="nb-NO"/>
              </w:rPr>
            </w:pPr>
          </w:p>
        </w:tc>
        <w:tc>
          <w:tcPr>
            <w:tcW w:w="974" w:type="dxa"/>
            <w:shd w:val="clear" w:color="5B9BD5" w:fill="FCE4D6"/>
            <w:noWrap/>
            <w:vAlign w:val="bottom"/>
            <w:hideMark/>
          </w:tcPr>
          <w:p w:rsidR="00F30CE1" w:rsidRPr="00A47AD9" w:rsidRDefault="00F30CE1" w:rsidP="00F30CE1">
            <w:pPr>
              <w:spacing w:after="0" w:line="240" w:lineRule="auto"/>
              <w:rPr>
                <w:rFonts w:ascii="Arial" w:eastAsia="Times New Roman" w:hAnsi="Arial" w:cs="Arial"/>
                <w:sz w:val="18"/>
                <w:szCs w:val="18"/>
                <w:lang w:eastAsia="nb-NO"/>
              </w:rPr>
            </w:pPr>
            <w:proofErr w:type="spellStart"/>
            <w:r w:rsidRPr="00A47AD9">
              <w:rPr>
                <w:rFonts w:ascii="Arial" w:eastAsia="Times New Roman" w:hAnsi="Arial" w:cs="Arial"/>
                <w:sz w:val="18"/>
                <w:szCs w:val="18"/>
                <w:lang w:eastAsia="nb-NO"/>
              </w:rPr>
              <w:t>Kongsv</w:t>
            </w:r>
            <w:proofErr w:type="spellEnd"/>
            <w:r w:rsidRPr="00A47AD9">
              <w:rPr>
                <w:rFonts w:ascii="Arial" w:eastAsia="Times New Roman" w:hAnsi="Arial" w:cs="Arial"/>
                <w:sz w:val="18"/>
                <w:szCs w:val="18"/>
                <w:lang w:eastAsia="nb-NO"/>
              </w:rPr>
              <w:t>.</w:t>
            </w:r>
          </w:p>
        </w:tc>
        <w:tc>
          <w:tcPr>
            <w:tcW w:w="1174" w:type="dxa"/>
            <w:shd w:val="clear" w:color="5B9BD5" w:fill="FCE4D6"/>
            <w:noWrap/>
            <w:vAlign w:val="bottom"/>
            <w:hideMark/>
          </w:tcPr>
          <w:p w:rsidR="00F30CE1" w:rsidRPr="00A47AD9" w:rsidRDefault="00F30CE1" w:rsidP="00F30CE1">
            <w:pPr>
              <w:spacing w:after="0" w:line="240" w:lineRule="auto"/>
              <w:rPr>
                <w:rFonts w:ascii="Arial" w:eastAsia="Times New Roman" w:hAnsi="Arial" w:cs="Arial"/>
                <w:sz w:val="18"/>
                <w:szCs w:val="18"/>
                <w:lang w:eastAsia="nb-NO"/>
              </w:rPr>
            </w:pPr>
            <w:r w:rsidRPr="00A47AD9">
              <w:rPr>
                <w:rFonts w:ascii="Arial" w:eastAsia="Times New Roman" w:hAnsi="Arial" w:cs="Arial"/>
                <w:sz w:val="18"/>
                <w:szCs w:val="18"/>
                <w:lang w:eastAsia="nb-NO"/>
              </w:rPr>
              <w:t>Nord-Odal</w:t>
            </w:r>
          </w:p>
        </w:tc>
        <w:tc>
          <w:tcPr>
            <w:tcW w:w="1063" w:type="dxa"/>
            <w:shd w:val="clear" w:color="5B9BD5" w:fill="FCE4D6"/>
            <w:noWrap/>
            <w:vAlign w:val="bottom"/>
            <w:hideMark/>
          </w:tcPr>
          <w:p w:rsidR="00F30CE1" w:rsidRPr="00A47AD9" w:rsidRDefault="00F30CE1" w:rsidP="00F30CE1">
            <w:pPr>
              <w:spacing w:after="0" w:line="240" w:lineRule="auto"/>
              <w:rPr>
                <w:rFonts w:ascii="Arial" w:eastAsia="Times New Roman" w:hAnsi="Arial" w:cs="Arial"/>
                <w:sz w:val="18"/>
                <w:szCs w:val="18"/>
                <w:lang w:eastAsia="nb-NO"/>
              </w:rPr>
            </w:pPr>
            <w:r w:rsidRPr="00A47AD9">
              <w:rPr>
                <w:rFonts w:ascii="Arial" w:eastAsia="Times New Roman" w:hAnsi="Arial" w:cs="Arial"/>
                <w:sz w:val="18"/>
                <w:szCs w:val="18"/>
                <w:lang w:eastAsia="nb-NO"/>
              </w:rPr>
              <w:t>Sør-Odal</w:t>
            </w:r>
          </w:p>
        </w:tc>
        <w:tc>
          <w:tcPr>
            <w:tcW w:w="963" w:type="dxa"/>
            <w:shd w:val="clear" w:color="5B9BD5" w:fill="FCE4D6"/>
            <w:noWrap/>
            <w:vAlign w:val="bottom"/>
            <w:hideMark/>
          </w:tcPr>
          <w:p w:rsidR="00F30CE1" w:rsidRPr="00A47AD9" w:rsidRDefault="00F30CE1" w:rsidP="00F30CE1">
            <w:pPr>
              <w:spacing w:after="0" w:line="240" w:lineRule="auto"/>
              <w:rPr>
                <w:rFonts w:ascii="Arial" w:eastAsia="Times New Roman" w:hAnsi="Arial" w:cs="Arial"/>
                <w:bCs/>
                <w:sz w:val="18"/>
                <w:szCs w:val="18"/>
                <w:lang w:eastAsia="nb-NO"/>
              </w:rPr>
            </w:pPr>
            <w:r w:rsidRPr="00A47AD9">
              <w:rPr>
                <w:rFonts w:ascii="Arial" w:eastAsia="Times New Roman" w:hAnsi="Arial" w:cs="Arial"/>
                <w:bCs/>
                <w:sz w:val="18"/>
                <w:szCs w:val="18"/>
                <w:lang w:eastAsia="nb-NO"/>
              </w:rPr>
              <w:t>Eidskog</w:t>
            </w:r>
          </w:p>
        </w:tc>
        <w:tc>
          <w:tcPr>
            <w:tcW w:w="806" w:type="dxa"/>
            <w:shd w:val="clear" w:color="5B9BD5" w:fill="FCE4D6"/>
            <w:noWrap/>
            <w:vAlign w:val="bottom"/>
            <w:hideMark/>
          </w:tcPr>
          <w:p w:rsidR="00F30CE1" w:rsidRPr="00A47AD9" w:rsidRDefault="00F30CE1" w:rsidP="00F30CE1">
            <w:pPr>
              <w:spacing w:after="0" w:line="240" w:lineRule="auto"/>
              <w:rPr>
                <w:rFonts w:ascii="Arial" w:eastAsia="Times New Roman" w:hAnsi="Arial" w:cs="Arial"/>
                <w:bCs/>
                <w:sz w:val="18"/>
                <w:szCs w:val="18"/>
                <w:lang w:eastAsia="nb-NO"/>
              </w:rPr>
            </w:pPr>
            <w:r w:rsidRPr="00A47AD9">
              <w:rPr>
                <w:rFonts w:ascii="Arial" w:eastAsia="Times New Roman" w:hAnsi="Arial" w:cs="Arial"/>
                <w:bCs/>
                <w:sz w:val="18"/>
                <w:szCs w:val="18"/>
                <w:lang w:eastAsia="nb-NO"/>
              </w:rPr>
              <w:t>Grue</w:t>
            </w:r>
          </w:p>
        </w:tc>
        <w:tc>
          <w:tcPr>
            <w:tcW w:w="1024" w:type="dxa"/>
            <w:shd w:val="clear" w:color="5B9BD5" w:fill="FCE4D6"/>
            <w:noWrap/>
            <w:vAlign w:val="bottom"/>
            <w:hideMark/>
          </w:tcPr>
          <w:p w:rsidR="00F30CE1" w:rsidRPr="00A47AD9" w:rsidRDefault="00F30CE1" w:rsidP="00F30CE1">
            <w:pPr>
              <w:spacing w:after="0" w:line="240" w:lineRule="auto"/>
              <w:rPr>
                <w:rFonts w:ascii="Arial" w:eastAsia="Times New Roman" w:hAnsi="Arial" w:cs="Arial"/>
                <w:bCs/>
                <w:sz w:val="18"/>
                <w:szCs w:val="18"/>
                <w:lang w:eastAsia="nb-NO"/>
              </w:rPr>
            </w:pPr>
            <w:r w:rsidRPr="00A47AD9">
              <w:rPr>
                <w:rFonts w:ascii="Arial" w:eastAsia="Times New Roman" w:hAnsi="Arial" w:cs="Arial"/>
                <w:bCs/>
                <w:sz w:val="18"/>
                <w:szCs w:val="18"/>
                <w:lang w:eastAsia="nb-NO"/>
              </w:rPr>
              <w:t>Åsnes</w:t>
            </w:r>
          </w:p>
        </w:tc>
        <w:tc>
          <w:tcPr>
            <w:tcW w:w="831" w:type="dxa"/>
            <w:shd w:val="clear" w:color="000000" w:fill="FCE4D6"/>
            <w:noWrap/>
            <w:vAlign w:val="bottom"/>
            <w:hideMark/>
          </w:tcPr>
          <w:p w:rsidR="00F30CE1" w:rsidRPr="00A47AD9" w:rsidRDefault="00F30CE1" w:rsidP="00F30CE1">
            <w:pPr>
              <w:spacing w:after="0" w:line="240" w:lineRule="auto"/>
              <w:rPr>
                <w:rFonts w:ascii="Arial" w:eastAsia="Times New Roman" w:hAnsi="Arial" w:cs="Arial"/>
                <w:bCs/>
                <w:sz w:val="18"/>
                <w:szCs w:val="18"/>
                <w:lang w:eastAsia="nb-NO"/>
              </w:rPr>
            </w:pPr>
            <w:r w:rsidRPr="00A47AD9">
              <w:rPr>
                <w:rFonts w:ascii="Arial" w:eastAsia="Times New Roman" w:hAnsi="Arial" w:cs="Arial"/>
                <w:bCs/>
                <w:sz w:val="18"/>
                <w:szCs w:val="18"/>
                <w:lang w:eastAsia="nb-NO"/>
              </w:rPr>
              <w:t>Våler</w:t>
            </w:r>
          </w:p>
        </w:tc>
        <w:tc>
          <w:tcPr>
            <w:tcW w:w="950"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Utenfor</w:t>
            </w:r>
          </w:p>
        </w:tc>
      </w:tr>
      <w:tr w:rsidR="00F30CE1" w:rsidRPr="00A47AD9" w:rsidTr="00A47AD9">
        <w:trPr>
          <w:cantSplit/>
          <w:trHeigh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500"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Kongsvinger</w:t>
            </w:r>
          </w:p>
        </w:tc>
        <w:tc>
          <w:tcPr>
            <w:tcW w:w="974" w:type="dxa"/>
            <w:shd w:val="clear" w:color="000000" w:fill="FBF5F8"/>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-0,3</w:t>
            </w:r>
          </w:p>
        </w:tc>
        <w:tc>
          <w:tcPr>
            <w:tcW w:w="1174" w:type="dxa"/>
            <w:shd w:val="clear" w:color="000000" w:fill="EFF3FB"/>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0,4</w:t>
            </w:r>
          </w:p>
        </w:tc>
        <w:tc>
          <w:tcPr>
            <w:tcW w:w="1063" w:type="dxa"/>
            <w:shd w:val="clear" w:color="000000" w:fill="DBE5F4"/>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0,9</w:t>
            </w:r>
          </w:p>
        </w:tc>
        <w:tc>
          <w:tcPr>
            <w:tcW w:w="963" w:type="dxa"/>
            <w:shd w:val="clear" w:color="000000" w:fill="E4EBF7"/>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0,7</w:t>
            </w:r>
          </w:p>
        </w:tc>
        <w:tc>
          <w:tcPr>
            <w:tcW w:w="806" w:type="dxa"/>
            <w:shd w:val="clear" w:color="000000" w:fill="E3EBF7"/>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0,7</w:t>
            </w:r>
          </w:p>
        </w:tc>
        <w:tc>
          <w:tcPr>
            <w:tcW w:w="1024" w:type="dxa"/>
            <w:shd w:val="clear" w:color="000000" w:fill="FBF9FC"/>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0,0</w:t>
            </w:r>
          </w:p>
        </w:tc>
        <w:tc>
          <w:tcPr>
            <w:tcW w:w="831" w:type="dxa"/>
            <w:shd w:val="clear" w:color="000000" w:fill="FCFC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0,2</w:t>
            </w:r>
          </w:p>
        </w:tc>
        <w:tc>
          <w:tcPr>
            <w:tcW w:w="950"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-2,6</w:t>
            </w:r>
          </w:p>
        </w:tc>
      </w:tr>
      <w:tr w:rsidR="00F30CE1" w:rsidRPr="00A47AD9" w:rsidTr="00A47AD9">
        <w:trPr>
          <w:cantSplit/>
          <w:trHeigh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500"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Nord-Odal</w:t>
            </w:r>
          </w:p>
        </w:tc>
        <w:tc>
          <w:tcPr>
            <w:tcW w:w="974" w:type="dxa"/>
            <w:shd w:val="clear" w:color="000000" w:fill="BACDE8"/>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1,7</w:t>
            </w:r>
          </w:p>
        </w:tc>
        <w:tc>
          <w:tcPr>
            <w:tcW w:w="1174" w:type="dxa"/>
            <w:shd w:val="clear" w:color="000000" w:fill="C1D3EB"/>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1,5</w:t>
            </w:r>
          </w:p>
        </w:tc>
        <w:tc>
          <w:tcPr>
            <w:tcW w:w="1063" w:type="dxa"/>
            <w:shd w:val="clear" w:color="000000" w:fill="FBF7FA"/>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-0,2</w:t>
            </w:r>
          </w:p>
        </w:tc>
        <w:tc>
          <w:tcPr>
            <w:tcW w:w="963" w:type="dxa"/>
            <w:shd w:val="clear" w:color="000000" w:fill="FBFAF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0,0</w:t>
            </w:r>
          </w:p>
        </w:tc>
        <w:tc>
          <w:tcPr>
            <w:tcW w:w="806" w:type="dxa"/>
            <w:shd w:val="clear" w:color="000000" w:fill="F9FAFE"/>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0,2</w:t>
            </w:r>
          </w:p>
        </w:tc>
        <w:tc>
          <w:tcPr>
            <w:tcW w:w="1024" w:type="dxa"/>
            <w:shd w:val="clear" w:color="000000" w:fill="FBFAF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0,0</w:t>
            </w:r>
          </w:p>
        </w:tc>
        <w:tc>
          <w:tcPr>
            <w:tcW w:w="831" w:type="dxa"/>
            <w:shd w:val="clear" w:color="000000" w:fill="FBFAF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0,0</w:t>
            </w:r>
          </w:p>
        </w:tc>
        <w:tc>
          <w:tcPr>
            <w:tcW w:w="950"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-3,4</w:t>
            </w:r>
          </w:p>
        </w:tc>
      </w:tr>
      <w:tr w:rsidR="00F30CE1" w:rsidRPr="00A47AD9" w:rsidTr="00A47AD9">
        <w:trPr>
          <w:cantSplit/>
          <w:trHeigh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500"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Sør-Odal</w:t>
            </w:r>
          </w:p>
        </w:tc>
        <w:tc>
          <w:tcPr>
            <w:tcW w:w="974" w:type="dxa"/>
            <w:shd w:val="clear" w:color="000000" w:fill="C5D5EC"/>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1,4</w:t>
            </w:r>
          </w:p>
        </w:tc>
        <w:tc>
          <w:tcPr>
            <w:tcW w:w="1174" w:type="dxa"/>
            <w:shd w:val="clear" w:color="000000" w:fill="D9E3F3"/>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1,0</w:t>
            </w:r>
          </w:p>
        </w:tc>
        <w:tc>
          <w:tcPr>
            <w:tcW w:w="1063" w:type="dxa"/>
            <w:shd w:val="clear" w:color="000000" w:fill="F9A6A8"/>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-5,6</w:t>
            </w:r>
          </w:p>
        </w:tc>
        <w:tc>
          <w:tcPr>
            <w:tcW w:w="963" w:type="dxa"/>
            <w:shd w:val="clear" w:color="000000" w:fill="FBFC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0,2</w:t>
            </w:r>
          </w:p>
        </w:tc>
        <w:tc>
          <w:tcPr>
            <w:tcW w:w="806" w:type="dxa"/>
            <w:shd w:val="clear" w:color="000000" w:fill="F7F8F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0,3</w:t>
            </w:r>
          </w:p>
        </w:tc>
        <w:tc>
          <w:tcPr>
            <w:tcW w:w="1024" w:type="dxa"/>
            <w:shd w:val="clear" w:color="000000" w:fill="F3F6FC"/>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0,4</w:t>
            </w:r>
          </w:p>
        </w:tc>
        <w:tc>
          <w:tcPr>
            <w:tcW w:w="831" w:type="dxa"/>
            <w:shd w:val="clear" w:color="000000" w:fill="FBF9FC"/>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0,0</w:t>
            </w:r>
          </w:p>
        </w:tc>
        <w:tc>
          <w:tcPr>
            <w:tcW w:w="950"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2,5</w:t>
            </w:r>
          </w:p>
        </w:tc>
      </w:tr>
      <w:tr w:rsidR="00F30CE1" w:rsidRPr="00A47AD9" w:rsidTr="00A47AD9">
        <w:trPr>
          <w:cantSplit/>
          <w:trHeigh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500"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Eidskog</w:t>
            </w:r>
          </w:p>
        </w:tc>
        <w:tc>
          <w:tcPr>
            <w:tcW w:w="974" w:type="dxa"/>
            <w:shd w:val="clear" w:color="000000" w:fill="FBF6F9"/>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-0,2</w:t>
            </w:r>
          </w:p>
        </w:tc>
        <w:tc>
          <w:tcPr>
            <w:tcW w:w="1174" w:type="dxa"/>
            <w:shd w:val="clear" w:color="000000" w:fill="FBFAF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0,0</w:t>
            </w:r>
          </w:p>
        </w:tc>
        <w:tc>
          <w:tcPr>
            <w:tcW w:w="1063" w:type="dxa"/>
            <w:shd w:val="clear" w:color="000000" w:fill="FBF9FC"/>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0,0</w:t>
            </w:r>
          </w:p>
        </w:tc>
        <w:tc>
          <w:tcPr>
            <w:tcW w:w="963" w:type="dxa"/>
            <w:shd w:val="clear" w:color="000000" w:fill="FBF0F3"/>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-0,6</w:t>
            </w:r>
          </w:p>
        </w:tc>
        <w:tc>
          <w:tcPr>
            <w:tcW w:w="806" w:type="dxa"/>
            <w:shd w:val="clear" w:color="000000" w:fill="FCFC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1024" w:type="dxa"/>
            <w:shd w:val="clear" w:color="000000" w:fill="F8F9FE"/>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0,2</w:t>
            </w:r>
          </w:p>
        </w:tc>
        <w:tc>
          <w:tcPr>
            <w:tcW w:w="831" w:type="dxa"/>
            <w:shd w:val="clear" w:color="000000" w:fill="FBFAF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0,0</w:t>
            </w:r>
          </w:p>
        </w:tc>
        <w:tc>
          <w:tcPr>
            <w:tcW w:w="950"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0,4</w:t>
            </w:r>
          </w:p>
        </w:tc>
      </w:tr>
      <w:tr w:rsidR="00F30CE1" w:rsidRPr="00A47AD9" w:rsidTr="00A47AD9">
        <w:trPr>
          <w:cantSplit/>
          <w:trHeigh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500"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Grue</w:t>
            </w:r>
          </w:p>
        </w:tc>
        <w:tc>
          <w:tcPr>
            <w:tcW w:w="974" w:type="dxa"/>
            <w:shd w:val="clear" w:color="000000" w:fill="86A9D6"/>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2,8</w:t>
            </w:r>
          </w:p>
        </w:tc>
        <w:tc>
          <w:tcPr>
            <w:tcW w:w="1174" w:type="dxa"/>
            <w:shd w:val="clear" w:color="000000" w:fill="FBF7FA"/>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-0,2</w:t>
            </w:r>
          </w:p>
        </w:tc>
        <w:tc>
          <w:tcPr>
            <w:tcW w:w="1063" w:type="dxa"/>
            <w:shd w:val="clear" w:color="000000" w:fill="FBFBFE"/>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963" w:type="dxa"/>
            <w:shd w:val="clear" w:color="000000" w:fill="F3F6FC"/>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0,4</w:t>
            </w:r>
          </w:p>
        </w:tc>
        <w:tc>
          <w:tcPr>
            <w:tcW w:w="806" w:type="dxa"/>
            <w:shd w:val="clear" w:color="000000" w:fill="FAC2C4"/>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-3,8</w:t>
            </w:r>
          </w:p>
        </w:tc>
        <w:tc>
          <w:tcPr>
            <w:tcW w:w="1024" w:type="dxa"/>
            <w:shd w:val="clear" w:color="000000" w:fill="99B7D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2,4</w:t>
            </w:r>
          </w:p>
        </w:tc>
        <w:tc>
          <w:tcPr>
            <w:tcW w:w="831" w:type="dxa"/>
            <w:shd w:val="clear" w:color="000000" w:fill="D5E1F2"/>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1,0</w:t>
            </w:r>
          </w:p>
        </w:tc>
        <w:tc>
          <w:tcPr>
            <w:tcW w:w="950"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-2,8</w:t>
            </w:r>
          </w:p>
        </w:tc>
      </w:tr>
      <w:tr w:rsidR="00F30CE1" w:rsidRPr="00A47AD9" w:rsidTr="00A47AD9">
        <w:trPr>
          <w:cantSplit/>
          <w:trHeight w:val="227"/>
        </w:trPr>
        <w:tc>
          <w:tcPr>
            <w:tcW w:w="520" w:type="dxa"/>
            <w:vMerge/>
            <w:vAlign w:val="center"/>
            <w:hideMark/>
          </w:tcPr>
          <w:p w:rsidR="00F30CE1" w:rsidRPr="00A47AD9" w:rsidRDefault="00F30CE1" w:rsidP="00F30CE1">
            <w:pPr>
              <w:spacing w:after="0" w:line="240" w:lineRule="auto"/>
              <w:rPr>
                <w:rFonts w:ascii="Arial" w:eastAsia="Times New Roman" w:hAnsi="Arial" w:cs="Arial"/>
                <w:color w:val="000000"/>
                <w:sz w:val="18"/>
                <w:szCs w:val="18"/>
                <w:lang w:eastAsia="nb-NO"/>
              </w:rPr>
            </w:pPr>
          </w:p>
        </w:tc>
        <w:tc>
          <w:tcPr>
            <w:tcW w:w="1500"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Åsnes</w:t>
            </w:r>
          </w:p>
        </w:tc>
        <w:tc>
          <w:tcPr>
            <w:tcW w:w="974" w:type="dxa"/>
            <w:shd w:val="clear" w:color="000000" w:fill="C6D6EC"/>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1,4</w:t>
            </w:r>
          </w:p>
        </w:tc>
        <w:tc>
          <w:tcPr>
            <w:tcW w:w="1174" w:type="dxa"/>
            <w:shd w:val="clear" w:color="000000" w:fill="FBFAF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1063" w:type="dxa"/>
            <w:shd w:val="clear" w:color="000000" w:fill="FBFAF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0,0</w:t>
            </w:r>
          </w:p>
        </w:tc>
        <w:tc>
          <w:tcPr>
            <w:tcW w:w="963" w:type="dxa"/>
            <w:shd w:val="clear" w:color="000000" w:fill="FBFAF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806" w:type="dxa"/>
            <w:shd w:val="clear" w:color="000000" w:fill="CEDBE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1,2</w:t>
            </w:r>
          </w:p>
        </w:tc>
        <w:tc>
          <w:tcPr>
            <w:tcW w:w="1024" w:type="dxa"/>
            <w:shd w:val="clear" w:color="000000" w:fill="FAC7C9"/>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-3,4</w:t>
            </w:r>
          </w:p>
        </w:tc>
        <w:tc>
          <w:tcPr>
            <w:tcW w:w="831" w:type="dxa"/>
            <w:shd w:val="clear" w:color="000000" w:fill="E6EDF8"/>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0,6</w:t>
            </w:r>
          </w:p>
        </w:tc>
        <w:tc>
          <w:tcPr>
            <w:tcW w:w="950"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0,0</w:t>
            </w:r>
          </w:p>
        </w:tc>
      </w:tr>
      <w:tr w:rsidR="00F30CE1" w:rsidRPr="00A47AD9" w:rsidTr="00A47AD9">
        <w:trPr>
          <w:cantSplit/>
          <w:trHeight w:val="227"/>
        </w:trPr>
        <w:tc>
          <w:tcPr>
            <w:tcW w:w="520" w:type="dxa"/>
            <w:shd w:val="clear" w:color="000000" w:fill="BDD7EE"/>
            <w:noWrap/>
            <w:textDirection w:val="btLr"/>
            <w:vAlign w:val="center"/>
            <w:hideMark/>
          </w:tcPr>
          <w:p w:rsidR="00F30CE1" w:rsidRPr="00A47AD9" w:rsidRDefault="00F30CE1" w:rsidP="00F30CE1">
            <w:pPr>
              <w:spacing w:after="0" w:line="240" w:lineRule="auto"/>
              <w:jc w:val="center"/>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 </w:t>
            </w:r>
          </w:p>
        </w:tc>
        <w:tc>
          <w:tcPr>
            <w:tcW w:w="1500"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Våler</w:t>
            </w:r>
          </w:p>
        </w:tc>
        <w:tc>
          <w:tcPr>
            <w:tcW w:w="974" w:type="dxa"/>
            <w:shd w:val="clear" w:color="000000" w:fill="F4F6FC"/>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0,3</w:t>
            </w:r>
          </w:p>
        </w:tc>
        <w:tc>
          <w:tcPr>
            <w:tcW w:w="1174" w:type="dxa"/>
            <w:shd w:val="clear" w:color="000000" w:fill="FBF9FC"/>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1063" w:type="dxa"/>
            <w:shd w:val="clear" w:color="000000" w:fill="FBF8FB"/>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963" w:type="dxa"/>
            <w:shd w:val="clear" w:color="000000" w:fill="FBFAFD"/>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0,1</w:t>
            </w:r>
          </w:p>
        </w:tc>
        <w:tc>
          <w:tcPr>
            <w:tcW w:w="806" w:type="dxa"/>
            <w:shd w:val="clear" w:color="000000" w:fill="ECF1FA"/>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0,5</w:t>
            </w:r>
          </w:p>
        </w:tc>
        <w:tc>
          <w:tcPr>
            <w:tcW w:w="1024" w:type="dxa"/>
            <w:shd w:val="clear" w:color="000000" w:fill="5A8AC6"/>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3,8</w:t>
            </w:r>
          </w:p>
        </w:tc>
        <w:tc>
          <w:tcPr>
            <w:tcW w:w="831" w:type="dxa"/>
            <w:shd w:val="clear" w:color="000000" w:fill="F8696B"/>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-9,8</w:t>
            </w:r>
          </w:p>
        </w:tc>
        <w:tc>
          <w:tcPr>
            <w:tcW w:w="950"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5,2</w:t>
            </w:r>
          </w:p>
        </w:tc>
      </w:tr>
      <w:tr w:rsidR="00F30CE1" w:rsidRPr="00A47AD9" w:rsidTr="00A47AD9">
        <w:trPr>
          <w:cantSplit/>
          <w:trHeight w:val="227"/>
        </w:trPr>
        <w:tc>
          <w:tcPr>
            <w:tcW w:w="520" w:type="dxa"/>
            <w:shd w:val="clear" w:color="000000" w:fill="BDD7EE"/>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 </w:t>
            </w:r>
          </w:p>
        </w:tc>
        <w:tc>
          <w:tcPr>
            <w:tcW w:w="1500" w:type="dxa"/>
            <w:shd w:val="clear" w:color="auto" w:fill="auto"/>
            <w:noWrap/>
            <w:vAlign w:val="bottom"/>
            <w:hideMark/>
          </w:tcPr>
          <w:p w:rsidR="00F30CE1" w:rsidRPr="00A47AD9" w:rsidRDefault="00F30CE1" w:rsidP="00F30CE1">
            <w:pPr>
              <w:spacing w:after="0" w:line="240" w:lineRule="auto"/>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Utenfor</w:t>
            </w:r>
          </w:p>
        </w:tc>
        <w:tc>
          <w:tcPr>
            <w:tcW w:w="974"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1,2</w:t>
            </w:r>
          </w:p>
        </w:tc>
        <w:tc>
          <w:tcPr>
            <w:tcW w:w="1174"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0,4</w:t>
            </w:r>
          </w:p>
        </w:tc>
        <w:tc>
          <w:tcPr>
            <w:tcW w:w="1063"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-0,3</w:t>
            </w:r>
          </w:p>
        </w:tc>
        <w:tc>
          <w:tcPr>
            <w:tcW w:w="963"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0,4</w:t>
            </w:r>
          </w:p>
        </w:tc>
        <w:tc>
          <w:tcPr>
            <w:tcW w:w="806"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0,2</w:t>
            </w:r>
          </w:p>
        </w:tc>
        <w:tc>
          <w:tcPr>
            <w:tcW w:w="1024"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0,6</w:t>
            </w:r>
          </w:p>
        </w:tc>
        <w:tc>
          <w:tcPr>
            <w:tcW w:w="831"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0,2</w:t>
            </w:r>
          </w:p>
        </w:tc>
        <w:tc>
          <w:tcPr>
            <w:tcW w:w="950" w:type="dxa"/>
            <w:shd w:val="clear" w:color="000000" w:fill="FFFFFF"/>
            <w:noWrap/>
            <w:vAlign w:val="bottom"/>
            <w:hideMark/>
          </w:tcPr>
          <w:p w:rsidR="00F30CE1" w:rsidRPr="00A47AD9" w:rsidRDefault="00F30CE1" w:rsidP="00F30CE1">
            <w:pPr>
              <w:spacing w:after="0" w:line="240" w:lineRule="auto"/>
              <w:jc w:val="right"/>
              <w:rPr>
                <w:rFonts w:ascii="Arial" w:eastAsia="Times New Roman" w:hAnsi="Arial" w:cs="Arial"/>
                <w:color w:val="000000"/>
                <w:sz w:val="18"/>
                <w:szCs w:val="18"/>
                <w:lang w:eastAsia="nb-NO"/>
              </w:rPr>
            </w:pPr>
            <w:r w:rsidRPr="00A47AD9">
              <w:rPr>
                <w:rFonts w:ascii="Arial" w:eastAsia="Times New Roman" w:hAnsi="Arial" w:cs="Arial"/>
                <w:color w:val="000000"/>
                <w:sz w:val="18"/>
                <w:szCs w:val="18"/>
                <w:lang w:eastAsia="nb-NO"/>
              </w:rPr>
              <w:t>-0,4</w:t>
            </w:r>
          </w:p>
        </w:tc>
      </w:tr>
    </w:tbl>
    <w:p w:rsidR="00F30CE1" w:rsidRPr="00F30CE1" w:rsidRDefault="00F30CE1" w:rsidP="00F30CE1"/>
    <w:p w:rsidR="006B070B" w:rsidRDefault="00AC2A84" w:rsidP="006B070B">
      <w:r>
        <w:t>Pendlingen mellom kommuner i Norge øker jevnt og trutt. Dermed vil de fleste kommunene se at andelen av de sysselsatte som arbeider i egen kommune synker, men andelen som pendler ut og inn øker.</w:t>
      </w:r>
    </w:p>
    <w:p w:rsidR="006D23F9" w:rsidRDefault="006D23F9" w:rsidP="006D23F9">
      <w:r>
        <w:t xml:space="preserve">Det gjelder for de fleste kommunene i </w:t>
      </w:r>
      <w:proofErr w:type="spellStart"/>
      <w:r>
        <w:t>Glåmdal</w:t>
      </w:r>
      <w:proofErr w:type="spellEnd"/>
      <w:r>
        <w:t xml:space="preserve"> også. Unntaket er Nord-Odal som har økt andelen som arbeider i egen kommune. I </w:t>
      </w:r>
      <w:proofErr w:type="spellStart"/>
      <w:r>
        <w:t>nogen</w:t>
      </w:r>
      <w:proofErr w:type="spellEnd"/>
      <w:r>
        <w:t xml:space="preserve"> kommuner, som Sør-Odal og Våler har det vært ganske sterk nedgang i andelen som arbeider i egen kommune.</w:t>
      </w:r>
      <w:r w:rsidR="00A47AD9">
        <w:t xml:space="preserve"> </w:t>
      </w:r>
    </w:p>
    <w:p w:rsidR="006D23F9" w:rsidRDefault="006D23F9" w:rsidP="006D23F9">
      <w:r>
        <w:t xml:space="preserve">Pendlingen til Kongsvinger fra de andre kommunene i regionen har økt ganske sterkt. Det betyr at </w:t>
      </w:r>
      <w:proofErr w:type="gramStart"/>
      <w:r>
        <w:t>disse kommunen</w:t>
      </w:r>
      <w:proofErr w:type="gramEnd"/>
      <w:r>
        <w:t xml:space="preserve"> i økende grad blir avhengige av utviklingen i Kongsvinger. Vekst i antall arbeidsplasser i Kongsvinger bidrar til å sikre bosetting i disse kommunene. Samtidig øker også pendlingen fra Kongsvinger til alle de andre kommunene i regionen. Dermed blir også bosettingen i Kongsvinger mer avhengig av arbeidsplassveksten i de andre kommunene. Regionens arbeidsmarked blir stadig tettere integrert.</w:t>
      </w:r>
    </w:p>
    <w:p w:rsidR="006D23F9" w:rsidRDefault="006D23F9" w:rsidP="006D23F9">
      <w:r>
        <w:t>Den stadig tettere integreringen av arbeidsmarkedet er et argument for felles næringspolitikk. Det blir stadig mindre viktig hvor lokaliseringen av</w:t>
      </w:r>
      <w:bookmarkStart w:id="43" w:name="_GoBack"/>
      <w:bookmarkEnd w:id="43"/>
      <w:r>
        <w:t xml:space="preserve"> arbeidsplassene er, det er den samlede arbeidsplassveksten i regionen som er viktig for de enkelte kommunene.</w:t>
      </w:r>
    </w:p>
    <w:p w:rsidR="006B070B" w:rsidRDefault="006D23F9" w:rsidP="006D23F9">
      <w:pPr>
        <w:sectPr w:rsidR="006B070B" w:rsidSect="00687F25">
          <w:type w:val="continuous"/>
          <w:pgSz w:w="11907" w:h="16840" w:code="9"/>
          <w:pgMar w:top="1440" w:right="1080" w:bottom="1440" w:left="1080" w:header="709" w:footer="709" w:gutter="0"/>
          <w:cols w:space="708"/>
          <w:docGrid w:linePitch="360"/>
        </w:sectPr>
      </w:pPr>
      <w:r>
        <w:t xml:space="preserve"> </w:t>
      </w:r>
      <w:r w:rsidR="006B070B">
        <w:br w:type="page"/>
      </w:r>
    </w:p>
    <w:p w:rsidR="00941194" w:rsidRDefault="001557D7" w:rsidP="009B34EC">
      <w:pPr>
        <w:pStyle w:val="Overskrift3"/>
      </w:pPr>
      <w:bookmarkStart w:id="44" w:name="_Toc400090076"/>
      <w:r>
        <w:lastRenderedPageBreak/>
        <w:t>Utpendling</w:t>
      </w:r>
      <w:bookmarkEnd w:id="44"/>
    </w:p>
    <w:p w:rsidR="006D23F9" w:rsidRDefault="009B34EC" w:rsidP="00E473EB">
      <w:r>
        <w:t xml:space="preserve">I figur 41 ser vi hvilke regioner som befolkningen i </w:t>
      </w:r>
      <w:proofErr w:type="spellStart"/>
      <w:r w:rsidR="006D23F9">
        <w:t>Glåmdal</w:t>
      </w:r>
      <w:proofErr w:type="spellEnd"/>
      <w:r w:rsidR="006D23F9">
        <w:t xml:space="preserve"> </w:t>
      </w:r>
      <w:r>
        <w:t xml:space="preserve">pendler til. </w:t>
      </w:r>
    </w:p>
    <w:p w:rsidR="006D23F9" w:rsidRDefault="006D23F9" w:rsidP="00E473EB">
      <w:r>
        <w:t xml:space="preserve">Pendlingsretningen er sørover. Det pendles mest til Oslo, men antall som pendler til Oslo har blitt mindre. Det er også ganske mange som pendler til Romerike. Her har det vært en liten økning. Det er kanskje rart at det ikke har vært større økning i pendlingen til Oslo og Romerike. Det har vært sterk arbeidsplassvekst i disse regionene. Årsaken til det er nok at antall sysselsatte i </w:t>
      </w:r>
      <w:proofErr w:type="spellStart"/>
      <w:r>
        <w:t>Glåmdal</w:t>
      </w:r>
      <w:proofErr w:type="spellEnd"/>
      <w:r>
        <w:t xml:space="preserve"> har sunket. </w:t>
      </w:r>
    </w:p>
    <w:p w:rsidR="006D23F9" w:rsidRDefault="006D23F9" w:rsidP="00E473EB">
      <w:r>
        <w:t xml:space="preserve">Det er også noe pendling til resten av Hedmark, Sør Østerdal og Hamarregionen. Hedmark betyr imidlertid mye mindre for </w:t>
      </w:r>
      <w:proofErr w:type="spellStart"/>
      <w:r>
        <w:t>Glåmdal</w:t>
      </w:r>
      <w:proofErr w:type="spellEnd"/>
      <w:r>
        <w:t xml:space="preserve"> enn Akershus.</w:t>
      </w:r>
    </w:p>
    <w:p w:rsidR="006D23F9" w:rsidRDefault="006D23F9" w:rsidP="00E473EB"/>
    <w:p w:rsidR="001557D7" w:rsidRDefault="001557D7" w:rsidP="00E473EB"/>
    <w:p w:rsidR="006D23F9" w:rsidRDefault="006D23F9" w:rsidP="00E473EB"/>
    <w:p w:rsidR="006D23F9" w:rsidRDefault="006D23F9" w:rsidP="00E473EB"/>
    <w:p w:rsidR="001557D7" w:rsidRDefault="001557D7" w:rsidP="009B34EC">
      <w:pPr>
        <w:pStyle w:val="Overskrift3"/>
      </w:pPr>
      <w:bookmarkStart w:id="45" w:name="_Toc400090077"/>
      <w:r>
        <w:t>Innpendling</w:t>
      </w:r>
      <w:bookmarkEnd w:id="45"/>
    </w:p>
    <w:p w:rsidR="009B34EC" w:rsidRDefault="006D23F9" w:rsidP="00E473EB">
      <w:r>
        <w:t xml:space="preserve">De regionene som har mest innpendling til </w:t>
      </w:r>
      <w:proofErr w:type="spellStart"/>
      <w:r>
        <w:t>Glåmdal</w:t>
      </w:r>
      <w:proofErr w:type="spellEnd"/>
      <w:r>
        <w:t xml:space="preserve"> er Øvre Romerike, Sør Østerdal og Oslo.</w:t>
      </w:r>
    </w:p>
    <w:p w:rsidR="006D23F9" w:rsidRDefault="006D23F9" w:rsidP="00E473EB">
      <w:r>
        <w:t xml:space="preserve">Det har vært ganske sterk økning i innpendling til </w:t>
      </w:r>
      <w:proofErr w:type="spellStart"/>
      <w:r>
        <w:t>Glåmdal</w:t>
      </w:r>
      <w:proofErr w:type="spellEnd"/>
      <w:r>
        <w:t>, mens utpendlingen ikke har hatt samme vekst. Det viser kanskje at det burde være et større potensial for innflytting.</w:t>
      </w:r>
    </w:p>
    <w:p w:rsidR="009B34EC" w:rsidRDefault="009B34EC" w:rsidP="00E473EB"/>
    <w:p w:rsidR="007D6DD0" w:rsidRDefault="007D6DD0" w:rsidP="00E473EB"/>
    <w:p w:rsidR="00DE26D7" w:rsidRDefault="00DE26D7" w:rsidP="00E473EB"/>
    <w:p w:rsidR="00DE26D7" w:rsidRDefault="007D6DD0" w:rsidP="00E473EB">
      <w:r>
        <w:br w:type="column"/>
      </w:r>
      <w:r w:rsidR="004B60D4">
        <w:rPr>
          <w:noProof/>
          <w:lang w:eastAsia="nb-NO"/>
        </w:rPr>
        <w:lastRenderedPageBreak/>
        <w:drawing>
          <wp:inline distT="0" distB="0" distL="0" distR="0">
            <wp:extent cx="3095625" cy="3476625"/>
            <wp:effectExtent l="0" t="0" r="0" b="0"/>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473EB" w:rsidRDefault="004C16F5" w:rsidP="004C16F5">
      <w:pPr>
        <w:pStyle w:val="Bildetekst"/>
      </w:pPr>
      <w:r>
        <w:t xml:space="preserve">Figur </w:t>
      </w:r>
      <w:r w:rsidR="004B3D9E">
        <w:fldChar w:fldCharType="begin"/>
      </w:r>
      <w:r>
        <w:instrText xml:space="preserve"> SEQ Figur \* ARABIC </w:instrText>
      </w:r>
      <w:r w:rsidR="004B3D9E">
        <w:fldChar w:fldCharType="separate"/>
      </w:r>
      <w:r w:rsidR="00CD5BFF">
        <w:rPr>
          <w:noProof/>
        </w:rPr>
        <w:t>43</w:t>
      </w:r>
      <w:r w:rsidR="004B3D9E">
        <w:fldChar w:fldCharType="end"/>
      </w:r>
      <w:r>
        <w:t xml:space="preserve">: Antall personer som pendlet fra </w:t>
      </w:r>
      <w:proofErr w:type="spellStart"/>
      <w:r w:rsidR="004B60D4">
        <w:t>Glåmdal</w:t>
      </w:r>
      <w:proofErr w:type="spellEnd"/>
      <w:r>
        <w:t xml:space="preserve"> til de </w:t>
      </w:r>
      <w:r w:rsidR="009B34EC">
        <w:t>regionene</w:t>
      </w:r>
      <w:r>
        <w:t xml:space="preserve"> det pendles mest til. </w:t>
      </w:r>
    </w:p>
    <w:p w:rsidR="00E473EB" w:rsidRDefault="004B60D4" w:rsidP="00E473EB">
      <w:r>
        <w:rPr>
          <w:noProof/>
          <w:lang w:eastAsia="nb-NO"/>
        </w:rPr>
        <w:drawing>
          <wp:inline distT="0" distB="0" distL="0" distR="0">
            <wp:extent cx="2981325" cy="3248025"/>
            <wp:effectExtent l="0" t="0" r="0" b="0"/>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E4FF9" w:rsidRDefault="006E05A2" w:rsidP="00BE4FF9">
      <w:pPr>
        <w:pStyle w:val="Bildetekst"/>
        <w:sectPr w:rsidR="00BE4FF9" w:rsidSect="00687F25">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44</w:t>
      </w:r>
      <w:r w:rsidR="004B3D9E">
        <w:fldChar w:fldCharType="end"/>
      </w:r>
      <w:r>
        <w:t xml:space="preserve">: Antall personer som pendlet til </w:t>
      </w:r>
      <w:proofErr w:type="spellStart"/>
      <w:r w:rsidR="004B60D4">
        <w:t>Glåmdal</w:t>
      </w:r>
      <w:proofErr w:type="spellEnd"/>
      <w:r>
        <w:t xml:space="preserve"> fra de åtte </w:t>
      </w:r>
      <w:r w:rsidR="009B34EC">
        <w:t>regionene</w:t>
      </w:r>
      <w:r>
        <w:t xml:space="preserve"> med størst innpendling til </w:t>
      </w:r>
      <w:proofErr w:type="spellStart"/>
      <w:r w:rsidR="006D23F9">
        <w:t>Glåmdal</w:t>
      </w:r>
      <w:proofErr w:type="spellEnd"/>
      <w:r>
        <w:t xml:space="preserve">. </w:t>
      </w:r>
      <w:r w:rsidR="00BE4FF9">
        <w:br w:type="page"/>
      </w:r>
    </w:p>
    <w:p w:rsidR="00667381" w:rsidRDefault="00667381" w:rsidP="00C10F6D">
      <w:pPr>
        <w:pStyle w:val="Overskrift2"/>
      </w:pPr>
      <w:bookmarkStart w:id="46" w:name="_Toc400090078"/>
      <w:r>
        <w:lastRenderedPageBreak/>
        <w:t>Samlet pendling</w:t>
      </w:r>
      <w:bookmarkEnd w:id="46"/>
    </w:p>
    <w:p w:rsidR="009B34EC" w:rsidRDefault="006D23F9" w:rsidP="00BE4FF9">
      <w:r>
        <w:t xml:space="preserve">Utpendlingen fra </w:t>
      </w:r>
      <w:proofErr w:type="spellStart"/>
      <w:r>
        <w:t>Glåmdal</w:t>
      </w:r>
      <w:proofErr w:type="spellEnd"/>
      <w:r>
        <w:t xml:space="preserve"> har sunket fra 5 895 i 2000 til 5 493 i 2013. Det er overraskende, pendlingsvilligheten i Norge har stadig økt, og de regionene </w:t>
      </w:r>
      <w:proofErr w:type="spellStart"/>
      <w:r>
        <w:t>Glåmdal</w:t>
      </w:r>
      <w:proofErr w:type="spellEnd"/>
      <w:r>
        <w:t xml:space="preserve"> kan pendle til har hatt sterk vekst. Normalt burde vi se en økning i utpendlingen.</w:t>
      </w:r>
    </w:p>
    <w:p w:rsidR="00C10F6D" w:rsidRDefault="006D23F9" w:rsidP="00BE4FF9">
      <w:r>
        <w:t>Antallet som pendler inn har økt fra 1 235 til 1 790. Det er langt færre som pendler inn enn som pendler ut, men i prosent har de vært en sterk økning i innpendlingen.</w:t>
      </w:r>
    </w:p>
    <w:p w:rsidR="00667381" w:rsidRDefault="00667381" w:rsidP="00C10F6D">
      <w:pPr>
        <w:pStyle w:val="Overskrift2"/>
      </w:pPr>
      <w:bookmarkStart w:id="47" w:name="_Toc400090079"/>
      <w:r>
        <w:t>Arbeidsmarkedsintegrasjon</w:t>
      </w:r>
      <w:bookmarkEnd w:id="47"/>
    </w:p>
    <w:p w:rsidR="00BE4FF9" w:rsidRDefault="009B34EC" w:rsidP="00BE4FF9">
      <w:r>
        <w:t>Arbeidsmarkedsintegrasjon er et mål for hvor godt arbeidsmarkedet på et sted er integrert med arbeidsmarkedet utenfor stedet. Vi måler arbeidsmarkedsintegrasjonen med å legge sammen den prosentvise andelen av de sysselsatte som pendler ut med den prosentvise andelen av arbeidsplassene som det pendles inn til.</w:t>
      </w:r>
    </w:p>
    <w:p w:rsidR="009B34EC" w:rsidRDefault="009B34EC" w:rsidP="00BE4FF9">
      <w:r>
        <w:t xml:space="preserve">Vi skal se senere at arbeidsmarkedsintegrasjonen betyr en del for nettoflyttingen til steder, og dette begrepet er sentralt i Attraktivitetsmodellen, og er også strategisk viktig for steder. </w:t>
      </w:r>
    </w:p>
    <w:p w:rsidR="006D23F9" w:rsidRDefault="006D23F9" w:rsidP="00BE4FF9">
      <w:r>
        <w:t xml:space="preserve">Regionene på Østlandet har mye sterkere arbeidsmarkedsintegrasjon enn i de andre landsdelene. </w:t>
      </w:r>
      <w:proofErr w:type="spellStart"/>
      <w:r>
        <w:t>Glåmdal</w:t>
      </w:r>
      <w:proofErr w:type="spellEnd"/>
      <w:r>
        <w:t xml:space="preserve"> har under middels arbeidsmarkedsintegrasjon av regionene på Østlandet, men er likevel rangert som nummer 27 av de 84 regionene i landet. </w:t>
      </w:r>
      <w:proofErr w:type="spellStart"/>
      <w:r>
        <w:t>Glåmdal</w:t>
      </w:r>
      <w:proofErr w:type="spellEnd"/>
      <w:r>
        <w:t xml:space="preserve"> har </w:t>
      </w:r>
      <w:proofErr w:type="spellStart"/>
      <w:r>
        <w:t>forholdvis</w:t>
      </w:r>
      <w:proofErr w:type="spellEnd"/>
      <w:r>
        <w:t xml:space="preserve"> høy intern arbeidsmarkedsintegrasjon. Kommunene i </w:t>
      </w:r>
      <w:proofErr w:type="spellStart"/>
      <w:r>
        <w:t>Glåmdal</w:t>
      </w:r>
      <w:proofErr w:type="spellEnd"/>
      <w:r>
        <w:t xml:space="preserve"> henger ganske godt sammen.</w:t>
      </w:r>
    </w:p>
    <w:p w:rsidR="006D23F9" w:rsidRDefault="006D23F9" w:rsidP="00BE4FF9"/>
    <w:p w:rsidR="008864F6" w:rsidRDefault="00BE4FF9" w:rsidP="00BE4FF9">
      <w:r>
        <w:br w:type="column"/>
      </w:r>
      <w:r w:rsidR="004B60D4">
        <w:rPr>
          <w:noProof/>
          <w:lang w:eastAsia="nb-NO"/>
        </w:rPr>
        <w:lastRenderedPageBreak/>
        <w:drawing>
          <wp:inline distT="0" distB="0" distL="0" distR="0">
            <wp:extent cx="2869565" cy="2449002"/>
            <wp:effectExtent l="0" t="0" r="6985" b="889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864F6" w:rsidRDefault="00036A18" w:rsidP="00036A18">
      <w:pPr>
        <w:pStyle w:val="Bildetekst"/>
      </w:pPr>
      <w:r>
        <w:t xml:space="preserve">Figur </w:t>
      </w:r>
      <w:r w:rsidR="004B3D9E">
        <w:fldChar w:fldCharType="begin"/>
      </w:r>
      <w:r>
        <w:instrText xml:space="preserve"> SEQ Figur \* ARABIC </w:instrText>
      </w:r>
      <w:r w:rsidR="004B3D9E">
        <w:fldChar w:fldCharType="separate"/>
      </w:r>
      <w:r w:rsidR="00CD5BFF">
        <w:rPr>
          <w:noProof/>
        </w:rPr>
        <w:t>45</w:t>
      </w:r>
      <w:r w:rsidR="004B3D9E">
        <w:fldChar w:fldCharType="end"/>
      </w:r>
      <w:r>
        <w:t xml:space="preserve">: Antall personer som pendler inn og ut av </w:t>
      </w:r>
      <w:proofErr w:type="spellStart"/>
      <w:r w:rsidR="004B60D4">
        <w:t>Glåmdal</w:t>
      </w:r>
      <w:proofErr w:type="spellEnd"/>
      <w:r>
        <w:t>, 2000-2013</w:t>
      </w:r>
    </w:p>
    <w:p w:rsidR="00BE4FF9" w:rsidRDefault="00512F19" w:rsidP="00BE4FF9">
      <w:r>
        <w:rPr>
          <w:noProof/>
          <w:lang w:eastAsia="nb-NO"/>
        </w:rPr>
        <w:drawing>
          <wp:inline distT="0" distB="0" distL="0" distR="0">
            <wp:extent cx="2971800" cy="5279666"/>
            <wp:effectExtent l="0" t="0" r="0" b="0"/>
            <wp:docPr id="58" name="Diagram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41194" w:rsidRDefault="00597335" w:rsidP="00921E80">
      <w:pPr>
        <w:pStyle w:val="Bildetekst"/>
        <w:sectPr w:rsidR="00941194" w:rsidSect="00687F25">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46</w:t>
      </w:r>
      <w:r w:rsidR="004B3D9E">
        <w:fldChar w:fldCharType="end"/>
      </w:r>
      <w:r>
        <w:t xml:space="preserve">: Arbeidsmarkedsintegrasjon i </w:t>
      </w:r>
      <w:r w:rsidR="00512F19">
        <w:t>regionene</w:t>
      </w:r>
      <w:r>
        <w:t xml:space="preserve"> </w:t>
      </w:r>
      <w:r w:rsidR="00512F19">
        <w:t>på</w:t>
      </w:r>
      <w:r>
        <w:t xml:space="preserve"> </w:t>
      </w:r>
      <w:r w:rsidR="00512F19">
        <w:t>Østlandet</w:t>
      </w:r>
      <w:r>
        <w:t xml:space="preserve"> i 2013. </w:t>
      </w:r>
      <w:r w:rsidR="00512F19">
        <w:t>Rangeringsnummer mht</w:t>
      </w:r>
      <w:r w:rsidR="000F7031">
        <w:t xml:space="preserve">. </w:t>
      </w:r>
      <w:r w:rsidR="00512F19">
        <w:t xml:space="preserve">83 </w:t>
      </w:r>
      <w:r w:rsidR="000F7031">
        <w:t xml:space="preserve">regioner. </w:t>
      </w:r>
      <w:r w:rsidR="00A039E6">
        <w:br w:type="page"/>
      </w:r>
    </w:p>
    <w:p w:rsidR="00215217" w:rsidRDefault="00512F19" w:rsidP="00215217">
      <w:pPr>
        <w:pStyle w:val="Overskrift1"/>
      </w:pPr>
      <w:bookmarkStart w:id="48" w:name="_Toc409451086"/>
      <w:r>
        <w:lastRenderedPageBreak/>
        <w:t>Bostedsattraktivitet</w:t>
      </w:r>
      <w:bookmarkEnd w:id="48"/>
    </w:p>
    <w:p w:rsidR="00187AD2" w:rsidRDefault="006B6915" w:rsidP="006B6915">
      <w:pPr>
        <w:pStyle w:val="Ingress"/>
        <w:ind w:left="0"/>
      </w:pPr>
      <w:r>
        <w:t xml:space="preserve">Vi har nå beskrevet og analysert utviklingen når det gjelder arbeidsplasser. I dette kapitlet skal se spesielt på bostedsattraktivitet. Steder som er attraktive som bosted trekker til seg innflyttere og holder på de som allerede bor på stedet. Slike steder får bedre befolkningsutvikling enn arbeidsplassveksten tilsier. </w:t>
      </w:r>
      <w:r w:rsidR="009B34EC">
        <w:t>H</w:t>
      </w:r>
      <w:r>
        <w:t>øy bostedsattraktivitet gjør det også lettere for næringslivet å rekruttere ansatte.</w:t>
      </w:r>
    </w:p>
    <w:p w:rsidR="006B6915" w:rsidRDefault="006B6915" w:rsidP="006B6915">
      <w:r>
        <w:t>Vi skal nå analysere flyttingen på bakgrunn av arbeidsplassveksten. Hvordan er sammenhengen mellom arbeidsplassveksten og flyttingen? Er det andre forhold enn arbeidsplassveksten som har vært drivkrefter, og som har ført til at stedet har fått flere innflyttere?</w:t>
      </w:r>
    </w:p>
    <w:p w:rsidR="006B6915" w:rsidRDefault="006B6915" w:rsidP="00215217"/>
    <w:bookmarkStart w:id="49" w:name="_MON_1473939871"/>
    <w:bookmarkEnd w:id="49"/>
    <w:p w:rsidR="006B6915" w:rsidRDefault="006B6915" w:rsidP="006B6915">
      <w:pPr>
        <w:keepNext/>
      </w:pPr>
      <w:r>
        <w:object w:dxaOrig="9607" w:dyaOrig="5402">
          <v:shape id="_x0000_i1031" type="#_x0000_t75" style="width:482.5pt;height:274.05pt" o:ole="">
            <v:imagedata r:id="rId68" o:title=""/>
          </v:shape>
          <o:OLEObject Type="Embed" ProgID="PowerPoint.Slide.12" ShapeID="_x0000_i1031" DrawAspect="Content" ObjectID="_1484073982" r:id="rId69"/>
        </w:object>
      </w:r>
    </w:p>
    <w:p w:rsidR="006B6915" w:rsidRDefault="006B6915" w:rsidP="006B6915">
      <w:pPr>
        <w:pStyle w:val="Bildetekst"/>
      </w:pPr>
      <w:r>
        <w:t xml:space="preserve">Figur </w:t>
      </w:r>
      <w:r w:rsidR="004B3D9E">
        <w:fldChar w:fldCharType="begin"/>
      </w:r>
      <w:r>
        <w:instrText xml:space="preserve"> SEQ Figur \* ARABIC </w:instrText>
      </w:r>
      <w:r w:rsidR="004B3D9E">
        <w:fldChar w:fldCharType="separate"/>
      </w:r>
      <w:r w:rsidR="00CD5BFF">
        <w:rPr>
          <w:noProof/>
        </w:rPr>
        <w:t>47</w:t>
      </w:r>
      <w:r w:rsidR="004B3D9E">
        <w:fldChar w:fldCharType="end"/>
      </w:r>
      <w:r>
        <w:t xml:space="preserve">: Attraktivitetsmodellen, og de delen vi skal </w:t>
      </w:r>
      <w:proofErr w:type="gramStart"/>
      <w:r>
        <w:t>fokuserer</w:t>
      </w:r>
      <w:proofErr w:type="gramEnd"/>
      <w:r>
        <w:t xml:space="preserve"> på i dette kapitlet.</w:t>
      </w:r>
    </w:p>
    <w:p w:rsidR="006B6915" w:rsidRDefault="006B6915" w:rsidP="006B6915"/>
    <w:p w:rsidR="006B6915" w:rsidRDefault="006B6915" w:rsidP="006B6915">
      <w:r>
        <w:t>Det er viktig å avdekke sammenhengen mellom arbeidsplassvekst og nettoflyttingen. Når vi kjenner denne sammenhengen kan vi finne ut av hvor mye av flyttingen som skyldes andre forhold. Etterpå skal vi se nærmere på disse andre forholdene. Det er noen strukturelle forhold som påvirker nettoflyttingen i stor grad. Til slutt kan vi finne ut om stedene er attraktive som bosteder.</w:t>
      </w:r>
    </w:p>
    <w:p w:rsidR="00D93FEF" w:rsidRDefault="006B6915">
      <w:pPr>
        <w:spacing w:after="0" w:line="240" w:lineRule="auto"/>
        <w:sectPr w:rsidR="00D93FEF" w:rsidSect="00687F25">
          <w:type w:val="continuous"/>
          <w:pgSz w:w="11907" w:h="16840" w:code="9"/>
          <w:pgMar w:top="1440" w:right="1080" w:bottom="1440" w:left="1080" w:header="709" w:footer="709" w:gutter="0"/>
          <w:cols w:space="708"/>
          <w:docGrid w:linePitch="360"/>
        </w:sectPr>
      </w:pPr>
      <w:r>
        <w:br w:type="page"/>
      </w:r>
    </w:p>
    <w:p w:rsidR="006B6915" w:rsidRDefault="006B6915" w:rsidP="006B6915">
      <w:pPr>
        <w:pStyle w:val="Overskrift2"/>
      </w:pPr>
      <w:r>
        <w:lastRenderedPageBreak/>
        <w:t>Arbeidsplassvekst og flytting</w:t>
      </w:r>
    </w:p>
    <w:p w:rsidR="006B6915" w:rsidRDefault="0066057D" w:rsidP="006B6915">
      <w:r>
        <w:t>Hvordan har sammenhengen vært mellom arbeidsplassvekst og nettoflytting i norske kommuner? Det kan vi se gjennom å lage et plott over arbeidsplassvekst og nettoflytting i kommunene i perioden 2000-2013.</w:t>
      </w:r>
    </w:p>
    <w:p w:rsidR="0066057D" w:rsidRDefault="000D0876" w:rsidP="0066057D">
      <w:pPr>
        <w:keepNext/>
      </w:pPr>
      <w:r>
        <w:rPr>
          <w:noProof/>
          <w:lang w:eastAsia="nb-NO"/>
        </w:rPr>
        <w:drawing>
          <wp:inline distT="0" distB="0" distL="0" distR="0">
            <wp:extent cx="6189345" cy="5132705"/>
            <wp:effectExtent l="0" t="0" r="1905" b="0"/>
            <wp:docPr id="36" name="Diagra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B6915" w:rsidRDefault="0066057D" w:rsidP="0066057D">
      <w:pPr>
        <w:pStyle w:val="Bildetekst"/>
      </w:pPr>
      <w:r>
        <w:t xml:space="preserve">Figur </w:t>
      </w:r>
      <w:r w:rsidR="004B3D9E">
        <w:fldChar w:fldCharType="begin"/>
      </w:r>
      <w:r>
        <w:instrText xml:space="preserve"> SEQ Figur \* ARABIC </w:instrText>
      </w:r>
      <w:r w:rsidR="004B3D9E">
        <w:fldChar w:fldCharType="separate"/>
      </w:r>
      <w:r w:rsidR="00CD5BFF">
        <w:rPr>
          <w:noProof/>
        </w:rPr>
        <w:t>48</w:t>
      </w:r>
      <w:r w:rsidR="004B3D9E">
        <w:fldChar w:fldCharType="end"/>
      </w:r>
      <w:r>
        <w:t xml:space="preserve">: Kommunene i Norge, plasser etter arbeidsplassvekst og nettoflytting i perioden 2000-2013. De </w:t>
      </w:r>
      <w:r w:rsidR="000D0876">
        <w:t>røde</w:t>
      </w:r>
      <w:r>
        <w:t xml:space="preserve"> er andre kommune i </w:t>
      </w:r>
      <w:r w:rsidR="000D0876">
        <w:t>Hedmark</w:t>
      </w:r>
      <w:r>
        <w:t>.</w:t>
      </w:r>
    </w:p>
    <w:p w:rsidR="0066057D" w:rsidRDefault="0066057D" w:rsidP="0066057D">
      <w:r>
        <w:t xml:space="preserve">Det er en klart sammenheng mellom arbeidsplassvekst i kommunene og deres nettoflytting, som vi kan se av figuren over. Linjen viser den statistiske sammenhengen mellom disse to </w:t>
      </w:r>
      <w:proofErr w:type="gramStart"/>
      <w:r>
        <w:t>størrelsen</w:t>
      </w:r>
      <w:proofErr w:type="gramEnd"/>
      <w:r>
        <w:t xml:space="preserve"> i perioden etter 2000. </w:t>
      </w:r>
    </w:p>
    <w:p w:rsidR="0066057D" w:rsidRDefault="0066057D" w:rsidP="0066057D">
      <w:r>
        <w:t xml:space="preserve">Det som kjennetegner kommunene i </w:t>
      </w:r>
      <w:proofErr w:type="spellStart"/>
      <w:r w:rsidR="006D23F9">
        <w:t>Glåmdal</w:t>
      </w:r>
      <w:proofErr w:type="spellEnd"/>
      <w:r w:rsidR="006D23F9">
        <w:t xml:space="preserve"> </w:t>
      </w:r>
      <w:r>
        <w:t xml:space="preserve">er </w:t>
      </w:r>
      <w:r w:rsidR="006D23F9">
        <w:t xml:space="preserve">at alle </w:t>
      </w:r>
      <w:proofErr w:type="gramStart"/>
      <w:r w:rsidR="006D23F9">
        <w:t>ligge</w:t>
      </w:r>
      <w:proofErr w:type="gramEnd"/>
      <w:r w:rsidR="006D23F9">
        <w:t xml:space="preserve"> over streken. De har dermed bedre flyttebalanse enn arbeidsplassveksten skulle tilsi. Samtidig ser vi at de ligger langt til venstre, som betyr at arbeidsplassveksten har vært svak.</w:t>
      </w:r>
    </w:p>
    <w:p w:rsidR="00512F19" w:rsidRDefault="0066057D" w:rsidP="00D93FEF">
      <w:r>
        <w:t>Avvikene er ikke tilfeldige, det er drivkrefter som påvirker nettoflyttingen til steder i den ene eller den andre retningen. Vi skal nå se nærmere på hvilke strukturelle forhold vi har identifisert, og hvordan de har påvirket nettoflyttingen. Det er også forhold i kommunen som kan påvirkes lokalt. Det kaller vi bostedsattraktivitet, og vi vil også vise hvordan vi har beregnet tall for bostedsattraktiviteten i kommunene.</w:t>
      </w:r>
      <w:r w:rsidR="00512F19">
        <w:br w:type="page"/>
      </w:r>
    </w:p>
    <w:p w:rsidR="00187AD2" w:rsidRDefault="00187AD2" w:rsidP="00215217">
      <w:pPr>
        <w:sectPr w:rsidR="00187AD2" w:rsidSect="00687F25">
          <w:type w:val="continuous"/>
          <w:pgSz w:w="11907" w:h="16840" w:code="9"/>
          <w:pgMar w:top="1440" w:right="1080" w:bottom="1440" w:left="1080" w:header="709" w:footer="709" w:gutter="0"/>
          <w:cols w:space="708"/>
          <w:docGrid w:linePitch="360"/>
        </w:sectPr>
      </w:pPr>
    </w:p>
    <w:p w:rsidR="00215217" w:rsidRDefault="0066057D" w:rsidP="0066057D">
      <w:pPr>
        <w:pStyle w:val="Overskrift2"/>
      </w:pPr>
      <w:r>
        <w:lastRenderedPageBreak/>
        <w:t>Strukturelle forhold og bostedsattraktivitet</w:t>
      </w:r>
    </w:p>
    <w:p w:rsidR="0066057D" w:rsidRDefault="00BD4C88" w:rsidP="00215217">
      <w:r>
        <w:t>Vi viste på forrige side at noen kommuner har hatt bedre nettoflytting enn arbeidsplassveksten tilsier, mens andre kommuner har mindre nettoflytting. Nå skal vi analysere årsakene til disse avvikene.</w:t>
      </w:r>
    </w:p>
    <w:p w:rsidR="00D93FEF" w:rsidRDefault="00D93FEF" w:rsidP="00215217"/>
    <w:bookmarkStart w:id="50" w:name="_MON_1473942145"/>
    <w:bookmarkEnd w:id="50"/>
    <w:p w:rsidR="00BD4C88" w:rsidRDefault="00BD4C88" w:rsidP="00BD4C88">
      <w:pPr>
        <w:keepNext/>
      </w:pPr>
      <w:r>
        <w:object w:dxaOrig="9607" w:dyaOrig="5402">
          <v:shape id="_x0000_i1032" type="#_x0000_t75" style="width:482.5pt;height:274.05pt" o:ole="">
            <v:imagedata r:id="rId71" o:title=""/>
          </v:shape>
          <o:OLEObject Type="Embed" ProgID="PowerPoint.Slide.12" ShapeID="_x0000_i1032" DrawAspect="Content" ObjectID="_1484073983" r:id="rId72"/>
        </w:object>
      </w:r>
    </w:p>
    <w:p w:rsidR="00BD4C88" w:rsidRDefault="00BD4C88" w:rsidP="00BD4C88">
      <w:pPr>
        <w:pStyle w:val="Bildetekst"/>
      </w:pPr>
      <w:r>
        <w:t xml:space="preserve">Figur </w:t>
      </w:r>
      <w:r w:rsidR="004B3D9E">
        <w:fldChar w:fldCharType="begin"/>
      </w:r>
      <w:r>
        <w:instrText xml:space="preserve"> SEQ Figur \* ARABIC </w:instrText>
      </w:r>
      <w:r w:rsidR="004B3D9E">
        <w:fldChar w:fldCharType="separate"/>
      </w:r>
      <w:r w:rsidR="00CD5BFF">
        <w:rPr>
          <w:noProof/>
        </w:rPr>
        <w:t>49</w:t>
      </w:r>
      <w:r w:rsidR="004B3D9E">
        <w:fldChar w:fldCharType="end"/>
      </w:r>
      <w:r>
        <w:t>:</w:t>
      </w:r>
      <w:r w:rsidR="005638EA">
        <w:t xml:space="preserve"> Attraktivitetsmodellen. </w:t>
      </w:r>
    </w:p>
    <w:p w:rsidR="005638EA" w:rsidRDefault="005638EA" w:rsidP="005638EA">
      <w:r>
        <w:t xml:space="preserve">Strukturelle forhold er faktorer som har en signifikant betydning for utviklingen, men </w:t>
      </w:r>
      <w:r w:rsidR="009B34EC">
        <w:t>s</w:t>
      </w:r>
      <w:r>
        <w:t xml:space="preserve">om vanskelig kan påvirkes lokalt. Det er tre strukturelle forhold som har signifikant betydning for steders nettoflytting, etter at effekten av arbeidsplassveksten er korrigert for. </w:t>
      </w:r>
    </w:p>
    <w:p w:rsidR="005638EA" w:rsidRDefault="005638EA" w:rsidP="005638EA">
      <w:r>
        <w:t xml:space="preserve">Den første er stedets </w:t>
      </w:r>
      <w:r w:rsidRPr="009B34EC">
        <w:rPr>
          <w:i/>
        </w:rPr>
        <w:t>størrelse</w:t>
      </w:r>
      <w:r>
        <w:t xml:space="preserve">, målt i innbyggertall. Steder med mange innbyggere har systematisk høyere nettoflytting, uavhengig at arbeidsplassveksten. </w:t>
      </w:r>
    </w:p>
    <w:p w:rsidR="005638EA" w:rsidRDefault="005638EA" w:rsidP="005638EA">
      <w:r>
        <w:t xml:space="preserve">Den andre faktoren er </w:t>
      </w:r>
      <w:r w:rsidRPr="009B34EC">
        <w:rPr>
          <w:i/>
        </w:rPr>
        <w:t>arbeidsmarkedsintegrasjon</w:t>
      </w:r>
      <w:r>
        <w:t xml:space="preserve">. Steder som inngår i større arbeidsmarkeder, og som derfor har bedre pendlingsmuligheter for befolkningen har systematisk høyere nettoflytting. Disse to faktorene er statiske, ved at de forandrer seg svært langsomt. </w:t>
      </w:r>
    </w:p>
    <w:p w:rsidR="005638EA" w:rsidRDefault="005638EA" w:rsidP="005638EA">
      <w:r>
        <w:t>Den tredje faktoren</w:t>
      </w:r>
      <w:r w:rsidR="009B34EC">
        <w:t xml:space="preserve">, </w:t>
      </w:r>
      <w:r w:rsidR="009B34EC" w:rsidRPr="009B34EC">
        <w:rPr>
          <w:i/>
        </w:rPr>
        <w:t>nabovekst</w:t>
      </w:r>
      <w:r w:rsidR="009B34EC">
        <w:t>,</w:t>
      </w:r>
      <w:r>
        <w:t xml:space="preserve"> er mer dynamisk og kan være </w:t>
      </w:r>
      <w:r w:rsidR="009B34EC">
        <w:t xml:space="preserve">helt </w:t>
      </w:r>
      <w:r>
        <w:t>forskjellig fra år til år. Det er arbeidsplassveksten i omkringliggende steder</w:t>
      </w:r>
      <w:r w:rsidR="009B34EC">
        <w:t>, veid med andelen som pendler til hvert sted</w:t>
      </w:r>
      <w:r>
        <w:t>. De</w:t>
      </w:r>
      <w:r w:rsidR="009B34EC">
        <w:t>rsom de omkringliggende stedene</w:t>
      </w:r>
      <w:r>
        <w:t xml:space="preserve"> har arbeidsplassvekst blir nettoflyttingen påvirket positivt.</w:t>
      </w:r>
    </w:p>
    <w:p w:rsidR="00BD4C88" w:rsidRDefault="00D93FEF" w:rsidP="00D93FEF">
      <w:pPr>
        <w:spacing w:after="0" w:line="240" w:lineRule="auto"/>
      </w:pPr>
      <w:r>
        <w:br w:type="page"/>
      </w:r>
    </w:p>
    <w:p w:rsidR="00CA71C1" w:rsidRDefault="00CA71C1" w:rsidP="005638EA">
      <w:pPr>
        <w:pStyle w:val="Overskrift3"/>
        <w:sectPr w:rsidR="00CA71C1" w:rsidSect="00687F25">
          <w:type w:val="continuous"/>
          <w:pgSz w:w="11907" w:h="16840" w:code="9"/>
          <w:pgMar w:top="1440" w:right="1080" w:bottom="1440" w:left="1080" w:header="709" w:footer="709" w:gutter="0"/>
          <w:cols w:space="708"/>
          <w:docGrid w:linePitch="360"/>
        </w:sectPr>
      </w:pPr>
    </w:p>
    <w:p w:rsidR="007D3823" w:rsidRDefault="005638EA" w:rsidP="005638EA">
      <w:pPr>
        <w:pStyle w:val="Overskrift3"/>
      </w:pPr>
      <w:r>
        <w:lastRenderedPageBreak/>
        <w:t>Strukturelle flyttefaktorer</w:t>
      </w:r>
      <w:r w:rsidR="001248EE">
        <w:t xml:space="preserve"> - regioner</w:t>
      </w:r>
    </w:p>
    <w:p w:rsidR="00CA71C1" w:rsidRDefault="00CA71C1" w:rsidP="00CA71C1">
      <w:r>
        <w:t>Hva har de strukturelle flyttefaktorene betydd for nettoflyttingen til regionene? Det har vi regnet ut i figuren til høyre. Regioner som Ringerike/Hole, Drammensregionen, Sandefjord/Larvik og Midt-Buskerud er regioner som har høy arbeidsmarkedsintegrasjon, og som vinner innflyttere på grunn av det.</w:t>
      </w:r>
    </w:p>
    <w:p w:rsidR="00CA71C1" w:rsidRDefault="006D23F9" w:rsidP="00CA71C1">
      <w:proofErr w:type="spellStart"/>
      <w:r>
        <w:t>Glåmdal</w:t>
      </w:r>
      <w:proofErr w:type="spellEnd"/>
      <w:r>
        <w:t xml:space="preserve"> har god intern arbeidsmarkedsintegrasjon og er også over middels når det gjelder befolkningsstørrelse. Det er en fordel. Samlet sett har </w:t>
      </w:r>
      <w:proofErr w:type="spellStart"/>
      <w:r>
        <w:t>Glåmdal</w:t>
      </w:r>
      <w:proofErr w:type="spellEnd"/>
      <w:r>
        <w:t xml:space="preserve"> ganske gode strukturelle flyttebetingelser.</w:t>
      </w:r>
    </w:p>
    <w:p w:rsidR="006D23F9" w:rsidRDefault="006D23F9" w:rsidP="00CA71C1"/>
    <w:p w:rsidR="00CA71C1" w:rsidRDefault="00CA71C1" w:rsidP="00CA71C1"/>
    <w:p w:rsidR="00CA71C1" w:rsidRDefault="00CA71C1" w:rsidP="00CA71C1"/>
    <w:p w:rsidR="009A6394" w:rsidRDefault="00CA71C1" w:rsidP="005B5E70">
      <w:pPr>
        <w:pStyle w:val="Bildetekst"/>
        <w:rPr>
          <w:noProof/>
          <w:lang w:eastAsia="nb-NO"/>
        </w:rPr>
      </w:pPr>
      <w:r>
        <w:br w:type="column"/>
      </w:r>
      <w:r w:rsidR="001248EE">
        <w:rPr>
          <w:noProof/>
          <w:lang w:eastAsia="nb-NO"/>
        </w:rPr>
        <w:lastRenderedPageBreak/>
        <w:drawing>
          <wp:inline distT="0" distB="0" distL="0" distR="0">
            <wp:extent cx="2838450" cy="4898003"/>
            <wp:effectExtent l="0" t="0" r="0" b="0"/>
            <wp:docPr id="51" name="Diagram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638EA" w:rsidRDefault="00CA71C1" w:rsidP="005B5E70">
      <w:pPr>
        <w:pStyle w:val="Bildetekst"/>
      </w:pPr>
      <w:r>
        <w:t xml:space="preserve">Figur </w:t>
      </w:r>
      <w:r w:rsidR="004B3D9E">
        <w:fldChar w:fldCharType="begin"/>
      </w:r>
      <w:r>
        <w:instrText xml:space="preserve"> SEQ Figur \* ARABIC </w:instrText>
      </w:r>
      <w:r w:rsidR="004B3D9E">
        <w:fldChar w:fldCharType="separate"/>
      </w:r>
      <w:r w:rsidR="00CD5BFF">
        <w:rPr>
          <w:noProof/>
        </w:rPr>
        <w:t>50</w:t>
      </w:r>
      <w:r w:rsidR="004B3D9E">
        <w:fldChar w:fldCharType="end"/>
      </w:r>
      <w:r>
        <w:t>: Effekten av de strukturelle flyttefaktorene på regionenes nettoflytting 2000-2013.</w:t>
      </w:r>
    </w:p>
    <w:p w:rsidR="001248EE" w:rsidRDefault="001248EE" w:rsidP="001248EE"/>
    <w:p w:rsidR="001248EE" w:rsidRDefault="001248EE">
      <w:pPr>
        <w:spacing w:after="0" w:line="240" w:lineRule="auto"/>
        <w:sectPr w:rsidR="001248EE" w:rsidSect="00687F25">
          <w:type w:val="continuous"/>
          <w:pgSz w:w="11907" w:h="16840" w:code="9"/>
          <w:pgMar w:top="1440" w:right="1080" w:bottom="1440" w:left="1080" w:header="709" w:footer="709" w:gutter="0"/>
          <w:cols w:num="2" w:space="339"/>
          <w:docGrid w:linePitch="360"/>
        </w:sectPr>
      </w:pPr>
      <w:r>
        <w:br w:type="page"/>
      </w:r>
    </w:p>
    <w:p w:rsidR="001248EE" w:rsidRDefault="001248EE" w:rsidP="001248EE">
      <w:pPr>
        <w:pStyle w:val="Overskrift3"/>
      </w:pPr>
      <w:r>
        <w:lastRenderedPageBreak/>
        <w:t>Strukturelle flyttefaktorer - kommuner</w:t>
      </w:r>
    </w:p>
    <w:p w:rsidR="001248EE" w:rsidRDefault="001248EE" w:rsidP="001248EE">
      <w:r>
        <w:t xml:space="preserve">Vi kan også se hvordan de strukturelle flyttefaktorene påvirker nettoflyttingen til kommunene i </w:t>
      </w:r>
      <w:r w:rsidR="00A465D1">
        <w:t>figuren til høyre</w:t>
      </w:r>
      <w:r>
        <w:t>.</w:t>
      </w:r>
    </w:p>
    <w:p w:rsidR="001248EE" w:rsidRDefault="001248EE" w:rsidP="001248EE">
      <w:r>
        <w:t xml:space="preserve">Kommunene i </w:t>
      </w:r>
      <w:proofErr w:type="spellStart"/>
      <w:r>
        <w:t>Glåmdal</w:t>
      </w:r>
      <w:proofErr w:type="spellEnd"/>
      <w:r>
        <w:t xml:space="preserve"> har </w:t>
      </w:r>
      <w:proofErr w:type="spellStart"/>
      <w:r>
        <w:t>forholdvis</w:t>
      </w:r>
      <w:proofErr w:type="spellEnd"/>
      <w:r>
        <w:t xml:space="preserve"> gode strukturelle flyttebetingelser. Det som har svekket flyttetallene i alle kommunene er naboveksten. Siden arbeidsplassutviklingen i regionen har vært svak, har det gått ut over nettoflyttingen til alle kommunene. </w:t>
      </w:r>
    </w:p>
    <w:p w:rsidR="001248EE" w:rsidRDefault="001248EE" w:rsidP="001248EE">
      <w:r>
        <w:t xml:space="preserve">Sør-Odal har de beste betingelsene av kommunene i </w:t>
      </w:r>
      <w:proofErr w:type="spellStart"/>
      <w:r>
        <w:t>Glåmdal</w:t>
      </w:r>
      <w:proofErr w:type="spellEnd"/>
      <w:r>
        <w:t>, på grunn av høy arbeidsmarkedsintegrasjon. De ligger mest gunstig til for å nå de store arbeidsmarkedene lenger sør.</w:t>
      </w:r>
    </w:p>
    <w:p w:rsidR="001248EE" w:rsidRDefault="001248EE">
      <w:pPr>
        <w:spacing w:after="0" w:line="240" w:lineRule="auto"/>
      </w:pPr>
    </w:p>
    <w:p w:rsidR="001248EE" w:rsidRDefault="001248EE">
      <w:pPr>
        <w:spacing w:after="0" w:line="240" w:lineRule="auto"/>
      </w:pPr>
    </w:p>
    <w:p w:rsidR="001248EE" w:rsidRDefault="001248EE">
      <w:pPr>
        <w:spacing w:after="0" w:line="240" w:lineRule="auto"/>
      </w:pPr>
    </w:p>
    <w:p w:rsidR="001248EE" w:rsidRDefault="001248EE" w:rsidP="001248EE"/>
    <w:p w:rsidR="001248EE" w:rsidRPr="001248EE" w:rsidRDefault="0047088A" w:rsidP="001248EE">
      <w:r>
        <w:br w:type="column"/>
      </w:r>
    </w:p>
    <w:p w:rsidR="00CA71C1" w:rsidRDefault="005B5E70" w:rsidP="00CA71C1">
      <w:pPr>
        <w:keepNext/>
      </w:pPr>
      <w:r>
        <w:rPr>
          <w:noProof/>
          <w:lang w:eastAsia="nb-NO"/>
        </w:rPr>
        <w:drawing>
          <wp:inline distT="0" distB="0" distL="0" distR="0">
            <wp:extent cx="3086100" cy="5049079"/>
            <wp:effectExtent l="0" t="0" r="0" b="0"/>
            <wp:docPr id="37" name="Diagram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01ED8" w:rsidRDefault="00CA71C1" w:rsidP="00B01ED8">
      <w:pPr>
        <w:pStyle w:val="Bildetekst"/>
        <w:sectPr w:rsidR="00B01ED8" w:rsidSect="00687F25">
          <w:type w:val="continuous"/>
          <w:pgSz w:w="11907" w:h="16840" w:code="9"/>
          <w:pgMar w:top="1440" w:right="1080" w:bottom="1440" w:left="1080" w:header="709" w:footer="709" w:gutter="0"/>
          <w:cols w:num="2" w:space="339"/>
          <w:docGrid w:linePitch="360"/>
        </w:sectPr>
      </w:pPr>
      <w:r>
        <w:t xml:space="preserve">Figur </w:t>
      </w:r>
      <w:r w:rsidR="004B3D9E">
        <w:fldChar w:fldCharType="begin"/>
      </w:r>
      <w:r>
        <w:instrText xml:space="preserve"> SEQ Figur \* ARABIC </w:instrText>
      </w:r>
      <w:r w:rsidR="004B3D9E">
        <w:fldChar w:fldCharType="separate"/>
      </w:r>
      <w:r w:rsidR="00CD5BFF">
        <w:rPr>
          <w:noProof/>
        </w:rPr>
        <w:t>51</w:t>
      </w:r>
      <w:r w:rsidR="004B3D9E">
        <w:fldChar w:fldCharType="end"/>
      </w:r>
      <w:r>
        <w:t>: Effekten av de strukturelle flyttefaktorene på kommunenes nettoflytting 2000-2013.</w:t>
      </w:r>
      <w:r w:rsidR="00B01ED8">
        <w:t xml:space="preserve"> </w:t>
      </w:r>
      <w:r w:rsidR="00B01ED8">
        <w:br w:type="page"/>
      </w:r>
    </w:p>
    <w:p w:rsidR="00835F6D" w:rsidRDefault="00CA71C1" w:rsidP="00CA71C1">
      <w:pPr>
        <w:pStyle w:val="Overskrift3"/>
      </w:pPr>
      <w:r>
        <w:lastRenderedPageBreak/>
        <w:t>Ekte bostedsattraktivitet</w:t>
      </w:r>
    </w:p>
    <w:p w:rsidR="00CA71C1" w:rsidRDefault="00CA71C1" w:rsidP="00215217">
      <w:r>
        <w:t xml:space="preserve">Nå har vi analysert nettoflyttingen, og regnet ut hva som skyldes arbeidsplassvekst og hva som skyldes </w:t>
      </w:r>
      <w:r w:rsidR="000B20AC">
        <w:t>strukturelle</w:t>
      </w:r>
      <w:r>
        <w:t xml:space="preserve"> faktorer. Det er imidlertid fremdeles en del av nettoflyttingen som ikke kan forklares av disse faktorene. Når det ikke finnes en ytre forklaring, antar vi at det skyldes forhold som er spesielle for regionen. Denne restfaktoren blir da en indikator for bostedsattraktiviteten. Den viser om nettoflyttingen har vært unormalt høy eller lav gitt de forholdene som vi vet påvirker nettoflyttingen.</w:t>
      </w:r>
    </w:p>
    <w:p w:rsidR="00CA71C1" w:rsidRDefault="00CA71C1" w:rsidP="00215217">
      <w:r>
        <w:t xml:space="preserve">Utviklingen av </w:t>
      </w:r>
      <w:proofErr w:type="spellStart"/>
      <w:r w:rsidR="0097098A">
        <w:t>Glåmdals</w:t>
      </w:r>
      <w:proofErr w:type="spellEnd"/>
      <w:r>
        <w:t xml:space="preserve"> bostedsattraktivitet kan vi se i figuren under.</w:t>
      </w:r>
    </w:p>
    <w:p w:rsidR="00CA71C1" w:rsidRDefault="005B5E70" w:rsidP="00CA71C1">
      <w:pPr>
        <w:keepNext/>
      </w:pPr>
      <w:r>
        <w:rPr>
          <w:noProof/>
          <w:lang w:eastAsia="nb-NO"/>
        </w:rPr>
        <w:drawing>
          <wp:inline distT="0" distB="0" distL="0" distR="0">
            <wp:extent cx="5716988" cy="4850296"/>
            <wp:effectExtent l="0" t="0" r="0" b="7620"/>
            <wp:docPr id="52" name="Diagram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A71C1" w:rsidRDefault="00CA71C1" w:rsidP="00CA71C1">
      <w:pPr>
        <w:pStyle w:val="Bildetekst"/>
      </w:pPr>
      <w:r>
        <w:t xml:space="preserve">Figur </w:t>
      </w:r>
      <w:r w:rsidR="004B3D9E">
        <w:fldChar w:fldCharType="begin"/>
      </w:r>
      <w:r>
        <w:instrText xml:space="preserve"> SEQ Figur \* ARABIC </w:instrText>
      </w:r>
      <w:r w:rsidR="004B3D9E">
        <w:fldChar w:fldCharType="separate"/>
      </w:r>
      <w:r w:rsidR="00CD5BFF">
        <w:rPr>
          <w:noProof/>
        </w:rPr>
        <w:t>52</w:t>
      </w:r>
      <w:r w:rsidR="004B3D9E">
        <w:fldChar w:fldCharType="end"/>
      </w:r>
      <w:r>
        <w:t xml:space="preserve">: Den relative nettoflyttingen til </w:t>
      </w:r>
      <w:proofErr w:type="spellStart"/>
      <w:r w:rsidR="005B5E70">
        <w:t>Glåmdal</w:t>
      </w:r>
      <w:proofErr w:type="spellEnd"/>
      <w:r>
        <w:t>, dekomponert i effekten av arbeidsplassvekst og strukturelle flyttefaktorer. Den nettoflyttingen som ikke kan forklares av arbeidsplassveksten eller strukturelle faktorer er en indikator for bostedsattraktivitet. Tre års glidende gjennomsnitt. Enhetene er standardavvik av nettoflytting.</w:t>
      </w:r>
    </w:p>
    <w:p w:rsidR="00CA71C1" w:rsidRDefault="00CA71C1" w:rsidP="00CA71C1">
      <w:r>
        <w:t>Figuren viser at de svake flytteta</w:t>
      </w:r>
      <w:r w:rsidR="000B20AC">
        <w:t>ll</w:t>
      </w:r>
      <w:r>
        <w:t xml:space="preserve">ene for </w:t>
      </w:r>
      <w:proofErr w:type="spellStart"/>
      <w:r w:rsidR="006D23F9">
        <w:t>Glåmdal</w:t>
      </w:r>
      <w:proofErr w:type="spellEnd"/>
      <w:r w:rsidR="006D23F9">
        <w:t xml:space="preserve"> </w:t>
      </w:r>
      <w:r>
        <w:t>for en stor del kan forklares av nedgangen i antall arbeidsplasser.</w:t>
      </w:r>
      <w:r w:rsidR="006D23F9">
        <w:t xml:space="preserve"> Svak arbeidsplassvekst har hemmet innflytting i alle periodene. De strukturelle flytefaktorene har vært positive, men i sum ikke bidratt mye.</w:t>
      </w:r>
    </w:p>
    <w:p w:rsidR="001222B6" w:rsidRDefault="006D23F9" w:rsidP="00CA71C1">
      <w:r>
        <w:t>Bostedsattraktiviteten har vært god i alle periodene fram til 2012. Det har altså ikke ført til mye innflytting, men at utflyttingen har blitt lavere enn forventet. I de siste periodene har bostedsattraktiviteten vært nøytral, og ikke bidratt særlig til flyttingen.</w:t>
      </w:r>
      <w:r w:rsidR="001222B6">
        <w:t xml:space="preserve"> </w:t>
      </w:r>
    </w:p>
    <w:p w:rsidR="001222B6" w:rsidRDefault="001222B6">
      <w:pPr>
        <w:spacing w:after="0" w:line="240" w:lineRule="auto"/>
        <w:sectPr w:rsidR="001222B6" w:rsidSect="00687F25">
          <w:type w:val="continuous"/>
          <w:pgSz w:w="11907" w:h="16840" w:code="9"/>
          <w:pgMar w:top="1440" w:right="1080" w:bottom="1440" w:left="1080" w:header="709" w:footer="709" w:gutter="0"/>
          <w:cols w:space="282"/>
          <w:docGrid w:linePitch="360"/>
        </w:sectPr>
      </w:pPr>
      <w:r>
        <w:br w:type="page"/>
      </w:r>
    </w:p>
    <w:p w:rsidR="003F46FA" w:rsidRDefault="003F46FA" w:rsidP="003F46FA">
      <w:pPr>
        <w:pStyle w:val="Overskrift1"/>
      </w:pPr>
      <w:bookmarkStart w:id="51" w:name="_Toc395102167"/>
      <w:bookmarkStart w:id="52" w:name="_Toc395618943"/>
      <w:bookmarkStart w:id="53" w:name="_Toc409451087"/>
      <w:proofErr w:type="spellStart"/>
      <w:r>
        <w:lastRenderedPageBreak/>
        <w:t>Scenarier</w:t>
      </w:r>
      <w:proofErr w:type="spellEnd"/>
      <w:r>
        <w:t xml:space="preserve"> for framtidig vekst</w:t>
      </w:r>
      <w:bookmarkEnd w:id="51"/>
      <w:bookmarkEnd w:id="52"/>
      <w:bookmarkEnd w:id="53"/>
    </w:p>
    <w:p w:rsidR="003F46FA" w:rsidRDefault="003F46FA" w:rsidP="003F46FA">
      <w:pPr>
        <w:pStyle w:val="Ingress"/>
        <w:ind w:left="0" w:right="0"/>
      </w:pPr>
      <w:r>
        <w:t xml:space="preserve">Vi skal avslutte denne rapporten med å se på hva som er sannsynlige og mulige </w:t>
      </w:r>
      <w:proofErr w:type="spellStart"/>
      <w:r>
        <w:t>scenarier</w:t>
      </w:r>
      <w:proofErr w:type="spellEnd"/>
      <w:r>
        <w:t xml:space="preserve"> for framtidig utvikling. </w:t>
      </w:r>
      <w:proofErr w:type="spellStart"/>
      <w:r>
        <w:t>Fremtidsscenariene</w:t>
      </w:r>
      <w:proofErr w:type="spellEnd"/>
      <w:r>
        <w:t xml:space="preserve"> er basert på at de strukturelle forholdene vil fortsette, men at kommunene kan påvirke sin egen attraktivitet.</w:t>
      </w:r>
    </w:p>
    <w:p w:rsidR="003F46FA" w:rsidRDefault="003F46FA" w:rsidP="003F46FA">
      <w:pPr>
        <w:pStyle w:val="Overskrift2"/>
        <w:numPr>
          <w:ilvl w:val="0"/>
          <w:numId w:val="0"/>
        </w:numPr>
        <w:spacing w:before="240" w:after="0"/>
        <w:ind w:left="578"/>
        <w:sectPr w:rsidR="003F46FA" w:rsidSect="00687F25">
          <w:type w:val="continuous"/>
          <w:pgSz w:w="11907" w:h="16840" w:code="9"/>
          <w:pgMar w:top="1440" w:right="1080" w:bottom="1440" w:left="1080" w:header="709" w:footer="709" w:gutter="0"/>
          <w:cols w:space="282"/>
          <w:docGrid w:linePitch="360"/>
        </w:sectPr>
      </w:pPr>
    </w:p>
    <w:p w:rsidR="003F46FA" w:rsidRDefault="003F46FA" w:rsidP="003F46FA">
      <w:pPr>
        <w:pStyle w:val="Overskrift2"/>
      </w:pPr>
      <w:r>
        <w:lastRenderedPageBreak/>
        <w:t>Strukturelle forhold</w:t>
      </w:r>
    </w:p>
    <w:p w:rsidR="003F46FA" w:rsidRDefault="003F46FA" w:rsidP="003F46FA">
      <w:r>
        <w:t xml:space="preserve">De strukturelle forholdene som kommer til å påvirke hver enkelt kommune vil være et resultat av hvor sterk veksten i hele Norge blir, med hensyn til befolknings- og arbeidsplassvekst. Dessuten vil veksten i en enkeltkommune også bli påvirket av hvilke sektorer og bransjer som kommer til å vokse i framtiden. Vi skal innledningsvis gjøre rede for hvordan vi kommer fram til et sannsynlig </w:t>
      </w:r>
      <w:r w:rsidR="000B20AC">
        <w:t>normal</w:t>
      </w:r>
      <w:r>
        <w:t>scenario for den nasjonale veksten og hvordan den fordeles.</w:t>
      </w:r>
    </w:p>
    <w:p w:rsidR="003F46FA" w:rsidRDefault="003F46FA" w:rsidP="003F46FA">
      <w:r>
        <w:t xml:space="preserve">Vi baseres </w:t>
      </w:r>
      <w:r w:rsidR="000B20AC">
        <w:t xml:space="preserve">oss </w:t>
      </w:r>
      <w:r>
        <w:t xml:space="preserve">på </w:t>
      </w:r>
      <w:proofErr w:type="spellStart"/>
      <w:r>
        <w:t>SSBs</w:t>
      </w:r>
      <w:proofErr w:type="spellEnd"/>
      <w:r>
        <w:t xml:space="preserve"> middel</w:t>
      </w:r>
      <w:r w:rsidR="000B20AC">
        <w:t>framskriving</w:t>
      </w:r>
      <w:r>
        <w:t xml:space="preserve"> for befolkningsveksten i Norge. Det forventes sterk innvandring de neste årene, som fører til tilsvarende sterk befolkningsvekst. Deretter antas det at netto</w:t>
      </w:r>
      <w:r>
        <w:softHyphen/>
        <w:t>innvandringen til Norge faller, slik at befolkningsveksten også faller. Framskrivningen gjelder for befolkningsvekst, men vi kan også bruke disse framskrivningene til å beregne sannsynlig arbeidsplassutvikling. Vi forutsetter da ganske enkelt at andelen av befolkningen som er sysselsatt vil være konstant</w:t>
      </w:r>
      <w:r>
        <w:rPr>
          <w:rStyle w:val="Sluttnotereferanse"/>
        </w:rPr>
        <w:endnoteReference w:id="2"/>
      </w:r>
      <w:r>
        <w:t xml:space="preserve">, slik at befolkning og arbeidsplasser vil vokse i samme takt. </w:t>
      </w:r>
    </w:p>
    <w:p w:rsidR="003F46FA" w:rsidRPr="00FC00A2" w:rsidRDefault="003F46FA" w:rsidP="003F46FA">
      <w:pPr>
        <w:rPr>
          <w:rFonts w:ascii="Arial" w:hAnsi="Arial" w:cs="Arial"/>
          <w:sz w:val="16"/>
          <w:szCs w:val="16"/>
        </w:rPr>
      </w:pPr>
      <w:r>
        <w:t xml:space="preserve">Strukturelle endringer er en av de viktigste drivkreftene for framtidig fordeling av veksten i antall arbeidsplasser mellom kommuner. Kommuner med konsentrasjon i vekstbransjer får vekstimpulser, mens kommuner med mange arbeidsplasser i næringer med nedgang vil bli negativt påvirket. I våre </w:t>
      </w:r>
      <w:proofErr w:type="spellStart"/>
      <w:r>
        <w:t>scenarier</w:t>
      </w:r>
      <w:proofErr w:type="spellEnd"/>
      <w:r>
        <w:t xml:space="preserve"> har vi lagt inn at vekstmønsteret mellom sektorer og bransjer vil fortsette med den samme tendensen i de kommende årene som i perioden 2000-2013. Vi ser hvordan veksten har variert i de ulike bransjene i figur 57. </w:t>
      </w:r>
      <w:r>
        <w:br w:type="column"/>
      </w:r>
      <w:r w:rsidRPr="00FC00A2">
        <w:rPr>
          <w:noProof/>
          <w:lang w:eastAsia="nb-NO"/>
        </w:rPr>
        <w:lastRenderedPageBreak/>
        <w:drawing>
          <wp:inline distT="0" distB="0" distL="0" distR="0">
            <wp:extent cx="3150870" cy="2324100"/>
            <wp:effectExtent l="0" t="0" r="0" b="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F46FA" w:rsidRDefault="003F46FA" w:rsidP="003F46FA">
      <w:pPr>
        <w:pStyle w:val="Bildetekst"/>
        <w:rPr>
          <w:noProof/>
          <w:lang w:eastAsia="nb-NO"/>
        </w:rPr>
      </w:pPr>
      <w:r>
        <w:t xml:space="preserve">Figur </w:t>
      </w:r>
      <w:r w:rsidR="004B3D9E">
        <w:fldChar w:fldCharType="begin"/>
      </w:r>
      <w:r>
        <w:instrText xml:space="preserve"> SEQ Figur \* ARABIC </w:instrText>
      </w:r>
      <w:r w:rsidR="004B3D9E">
        <w:fldChar w:fldCharType="separate"/>
      </w:r>
      <w:r w:rsidR="00CD5BFF">
        <w:rPr>
          <w:noProof/>
        </w:rPr>
        <w:t>53</w:t>
      </w:r>
      <w:r w:rsidR="004B3D9E">
        <w:fldChar w:fldCharType="end"/>
      </w:r>
      <w:r>
        <w:t xml:space="preserve">: Arbeidsplassveksten i Norge fram til 2013, og beregnet arbeidsplassvekst ut fra at sysselsettingsandelen skal være konstant og </w:t>
      </w:r>
      <w:proofErr w:type="spellStart"/>
      <w:r>
        <w:t>SSBs</w:t>
      </w:r>
      <w:proofErr w:type="spellEnd"/>
      <w:r>
        <w:t xml:space="preserve"> middelprognose for befolkningsveksten. </w:t>
      </w:r>
    </w:p>
    <w:p w:rsidR="003F46FA" w:rsidRPr="00D602B2" w:rsidRDefault="003F46FA" w:rsidP="003F46FA">
      <w:pPr>
        <w:rPr>
          <w:lang w:eastAsia="nb-NO"/>
        </w:rPr>
      </w:pPr>
      <w:r>
        <w:rPr>
          <w:noProof/>
          <w:lang w:eastAsia="nb-NO"/>
        </w:rPr>
        <w:drawing>
          <wp:inline distT="0" distB="0" distL="0" distR="0">
            <wp:extent cx="3213100" cy="3683000"/>
            <wp:effectExtent l="0" t="0" r="6350" b="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F46FA" w:rsidRDefault="003F46FA" w:rsidP="003F46FA">
      <w:pPr>
        <w:pStyle w:val="Bildetekst"/>
      </w:pPr>
      <w:r>
        <w:t xml:space="preserve">Figur </w:t>
      </w:r>
      <w:r w:rsidR="004B3D9E">
        <w:fldChar w:fldCharType="begin"/>
      </w:r>
      <w:r>
        <w:instrText xml:space="preserve"> SEQ Figur \* ARABIC </w:instrText>
      </w:r>
      <w:r w:rsidR="004B3D9E">
        <w:fldChar w:fldCharType="separate"/>
      </w:r>
      <w:r w:rsidR="00CD5BFF">
        <w:rPr>
          <w:noProof/>
        </w:rPr>
        <w:t>54</w:t>
      </w:r>
      <w:r w:rsidR="004B3D9E">
        <w:fldChar w:fldCharType="end"/>
      </w:r>
      <w:r>
        <w:t>: Prosentvis vekst i antall arbeidsplasser fra 2000 til 2013 i Norge.</w:t>
      </w:r>
    </w:p>
    <w:p w:rsidR="003F46FA" w:rsidRDefault="003F46FA" w:rsidP="003F46FA">
      <w:pPr>
        <w:spacing w:after="0" w:line="240" w:lineRule="auto"/>
        <w:sectPr w:rsidR="003F46FA" w:rsidSect="00687F25">
          <w:type w:val="continuous"/>
          <w:pgSz w:w="11907" w:h="16840" w:code="9"/>
          <w:pgMar w:top="1440" w:right="1080" w:bottom="1440" w:left="1080" w:header="709" w:footer="709" w:gutter="0"/>
          <w:cols w:num="2" w:space="282"/>
          <w:docGrid w:linePitch="360"/>
        </w:sectPr>
      </w:pPr>
    </w:p>
    <w:p w:rsidR="003F46FA" w:rsidRDefault="003F46FA" w:rsidP="003F46FA">
      <w:pPr>
        <w:pStyle w:val="Overskrift2"/>
      </w:pPr>
      <w:r>
        <w:lastRenderedPageBreak/>
        <w:t>Modellens dynamikk</w:t>
      </w:r>
    </w:p>
    <w:p w:rsidR="003F46FA" w:rsidRDefault="003F46FA" w:rsidP="003F46FA">
      <w:r>
        <w:t>I scenariomodellen bruker vi den samme modellen som vi brukte for å analysere den historiske utviklingen. Det er først og fremt utviklingen i befolkning og antall arbeidsplasser som modellen vil vise. Samtidig viser modellen hvordan antall arbeidsplasser vil fordele seg mellom sektorer og næringstyper.</w:t>
      </w:r>
    </w:p>
    <w:bookmarkStart w:id="54" w:name="_MON_1468743617"/>
    <w:bookmarkEnd w:id="54"/>
    <w:p w:rsidR="003F46FA" w:rsidRDefault="003F46FA" w:rsidP="003F46FA">
      <w:pPr>
        <w:keepNext/>
      </w:pPr>
      <w:r>
        <w:object w:dxaOrig="9486" w:dyaOrig="5335">
          <v:shape id="_x0000_i1033" type="#_x0000_t75" style="width:475.5pt;height:265.95pt" o:ole="">
            <v:imagedata r:id="rId78" o:title=""/>
          </v:shape>
          <o:OLEObject Type="Embed" ProgID="PowerPoint.Slide.12" ShapeID="_x0000_i1033" DrawAspect="Content" ObjectID="_1484073984" r:id="rId79"/>
        </w:object>
      </w:r>
    </w:p>
    <w:p w:rsidR="003F46FA" w:rsidRDefault="003F46FA" w:rsidP="003F46FA">
      <w:pPr>
        <w:pStyle w:val="Bildetekst"/>
      </w:pPr>
      <w:r>
        <w:t xml:space="preserve">Figur </w:t>
      </w:r>
      <w:r w:rsidR="004B3D9E">
        <w:fldChar w:fldCharType="begin"/>
      </w:r>
      <w:r>
        <w:instrText xml:space="preserve"> SEQ Figur \* ARABIC </w:instrText>
      </w:r>
      <w:r w:rsidR="004B3D9E">
        <w:fldChar w:fldCharType="separate"/>
      </w:r>
      <w:r w:rsidR="00CD5BFF">
        <w:rPr>
          <w:noProof/>
        </w:rPr>
        <w:t>55</w:t>
      </w:r>
      <w:r w:rsidR="004B3D9E">
        <w:fldChar w:fldCharType="end"/>
      </w:r>
      <w:r>
        <w:t>: Scenariomodellens oppbygging. De grå boksene er eksogene variabler, som baserer seg på historiske tall. De blå boksene blir bestemt i modellen. De sorte pilene viser definisjonsmessige sammenhenger, som at befolkningsveksten er summer av fødselsbalansen og nettoflytting, og at arbeidsplassveksten er summen av veksten i alle sektorer og næringstyper. De blå pilene viser sammenhenger som er lagt inn i modellen, og som er basert på regresjonsanalyser av historiske sammenhenger.</w:t>
      </w:r>
    </w:p>
    <w:p w:rsidR="003F46FA" w:rsidRDefault="003F46FA" w:rsidP="003F46FA">
      <w:r>
        <w:t xml:space="preserve">I modellen blir framtidig vekst i antall arbeidsplasser i basisnæringer et resultat av forventet vekst i de ulike bransjene på landsbasis, og vi legger da til grunn at veksten i de ulike bransjene i kommunen blir den samme som på landsbasis. Veksten i besøksnæringene er </w:t>
      </w:r>
      <w:r w:rsidR="000B20AC">
        <w:t>antatt å være den samme som på landsbasis i utgangspunktet, men justert for befolkningsveksten</w:t>
      </w:r>
      <w:r>
        <w:t>. De regionale næringene blir positivt påvirket av både befolkningsvekst og samtidig påvirket av bransjestrukturen.</w:t>
      </w:r>
    </w:p>
    <w:p w:rsidR="003F46FA" w:rsidRDefault="003F46FA" w:rsidP="003F46FA">
      <w:r>
        <w:t>Utviklingen i antall arbeidsplasser i statlig sektor og i fylker antas å fortsette som før, og vil ikke være påvirket av kommunens egen arbeidsplassvekst.</w:t>
      </w:r>
    </w:p>
    <w:p w:rsidR="003F46FA" w:rsidRDefault="003F46FA" w:rsidP="003F46FA">
      <w:r>
        <w:t xml:space="preserve">Den relative arbeidsplassveksten i kommunen vil få en effekt på nettoflyttingen. Her baserer vi modellen på den empiriske sammenhengen mellom arbeidsplassvekst og nettoflytting i </w:t>
      </w:r>
      <w:r w:rsidR="000B20AC">
        <w:t>norske</w:t>
      </w:r>
      <w:r>
        <w:t xml:space="preserve"> kommuner de ti siste årene. Nettoflyttingen blir også påvirket av strukturelle forhold som kommunens befolkningsstørrelse og arbeidsmarkedsintegrasjon, som antas å ha samme effekt i framtiden som historiske data viser.</w:t>
      </w:r>
    </w:p>
    <w:p w:rsidR="003F46FA" w:rsidRDefault="003F46FA" w:rsidP="003F46FA">
      <w:r>
        <w:t xml:space="preserve">Denne modellen representerer «business as </w:t>
      </w:r>
      <w:proofErr w:type="spellStart"/>
      <w:r>
        <w:t>usual</w:t>
      </w:r>
      <w:proofErr w:type="spellEnd"/>
      <w:r>
        <w:t xml:space="preserve">», der de strukturelle endringene de siste årene framskrives. Samtidig baserer dette </w:t>
      </w:r>
      <w:proofErr w:type="spellStart"/>
      <w:r>
        <w:t>scenariet</w:t>
      </w:r>
      <w:proofErr w:type="spellEnd"/>
      <w:r>
        <w:t xml:space="preserve"> seg på at regionen har en utvikling «som normalt», dvs. at regionen har helt nøytral attraktivitet. </w:t>
      </w:r>
      <w:r>
        <w:br w:type="page"/>
      </w:r>
    </w:p>
    <w:p w:rsidR="003F46FA" w:rsidRDefault="003F46FA" w:rsidP="003F46FA">
      <w:pPr>
        <w:pStyle w:val="Overskrift2"/>
      </w:pPr>
      <w:proofErr w:type="spellStart"/>
      <w:r>
        <w:lastRenderedPageBreak/>
        <w:t>Normal-scenario</w:t>
      </w:r>
      <w:proofErr w:type="spellEnd"/>
      <w:r>
        <w:t xml:space="preserve"> for </w:t>
      </w:r>
      <w:proofErr w:type="spellStart"/>
      <w:r w:rsidR="00BB2B25">
        <w:t>Glåmdal</w:t>
      </w:r>
      <w:proofErr w:type="spellEnd"/>
    </w:p>
    <w:p w:rsidR="003F46FA" w:rsidRDefault="003F46FA" w:rsidP="003F46FA">
      <w:pPr>
        <w:sectPr w:rsidR="003F46FA" w:rsidSect="00687F25">
          <w:type w:val="continuous"/>
          <w:pgSz w:w="11907" w:h="16840" w:code="9"/>
          <w:pgMar w:top="1440" w:right="1080" w:bottom="1440" w:left="1080" w:header="709" w:footer="709" w:gutter="0"/>
          <w:cols w:space="282"/>
          <w:docGrid w:linePitch="360"/>
        </w:sectPr>
      </w:pPr>
    </w:p>
    <w:p w:rsidR="006D23F9" w:rsidRDefault="003F46FA" w:rsidP="003F46FA">
      <w:r>
        <w:lastRenderedPageBreak/>
        <w:t xml:space="preserve">I figuren til høyre viser vi hvilken utvikling </w:t>
      </w:r>
      <w:proofErr w:type="spellStart"/>
      <w:r w:rsidR="006D23F9">
        <w:t>Glåmdal</w:t>
      </w:r>
      <w:proofErr w:type="spellEnd"/>
      <w:r>
        <w:t xml:space="preserve"> vil få dersom </w:t>
      </w:r>
      <w:proofErr w:type="spellStart"/>
      <w:r>
        <w:t>normalscenariet</w:t>
      </w:r>
      <w:proofErr w:type="spellEnd"/>
      <w:r>
        <w:t xml:space="preserve"> slår til. Folketallet vil synke til </w:t>
      </w:r>
      <w:r w:rsidR="006D23F9">
        <w:t>47</w:t>
      </w:r>
      <w:r>
        <w:t xml:space="preserve"> </w:t>
      </w:r>
      <w:r w:rsidR="006D23F9">
        <w:t>593</w:t>
      </w:r>
      <w:r>
        <w:t xml:space="preserve"> innbyggere i 2040. </w:t>
      </w:r>
      <w:r w:rsidR="006D23F9">
        <w:t xml:space="preserve">Det er mye mer pessimistiske tall for </w:t>
      </w:r>
      <w:proofErr w:type="spellStart"/>
      <w:r w:rsidR="006D23F9">
        <w:t>Glåmdal</w:t>
      </w:r>
      <w:proofErr w:type="spellEnd"/>
      <w:r w:rsidR="006D23F9">
        <w:t xml:space="preserve"> enn SSB opererer med i sine framskrivinger. </w:t>
      </w:r>
      <w:proofErr w:type="gramStart"/>
      <w:r w:rsidR="006D23F9">
        <w:t>I SSB sine framskrivinger antas</w:t>
      </w:r>
      <w:proofErr w:type="gramEnd"/>
      <w:r w:rsidR="006D23F9">
        <w:t xml:space="preserve"> flyttingen til de store byene fra distriktene å avta ganske sterkt. Det er litt vanskelig </w:t>
      </w:r>
      <w:proofErr w:type="gramStart"/>
      <w:r w:rsidR="006D23F9">
        <w:t>å</w:t>
      </w:r>
      <w:proofErr w:type="gramEnd"/>
      <w:r w:rsidR="006D23F9">
        <w:t xml:space="preserve"> forså SSB sine framskrivinger. </w:t>
      </w:r>
      <w:proofErr w:type="spellStart"/>
      <w:r w:rsidR="006D23F9">
        <w:t>Glåmdal</w:t>
      </w:r>
      <w:proofErr w:type="spellEnd"/>
      <w:r w:rsidR="006D23F9">
        <w:t xml:space="preserve"> har hatt nedgang i sin befolkning de ti siste årene. Den nasjonale befolkningsveksten er antatt </w:t>
      </w:r>
      <w:proofErr w:type="gramStart"/>
      <w:r w:rsidR="006D23F9">
        <w:t>å</w:t>
      </w:r>
      <w:proofErr w:type="gramEnd"/>
      <w:r w:rsidR="006D23F9">
        <w:t xml:space="preserve"> blir lavere i årene som kommer. Derfor burde det også bli lavere vekst i </w:t>
      </w:r>
      <w:proofErr w:type="spellStart"/>
      <w:r w:rsidR="006D23F9">
        <w:t>Glåmdal</w:t>
      </w:r>
      <w:proofErr w:type="spellEnd"/>
      <w:r w:rsidR="006D23F9">
        <w:t xml:space="preserve"> enn tidligere. </w:t>
      </w:r>
    </w:p>
    <w:p w:rsidR="006D23F9" w:rsidRDefault="006D23F9" w:rsidP="003F46FA"/>
    <w:p w:rsidR="006D23F9" w:rsidRDefault="003F46FA" w:rsidP="003F46FA">
      <w:r>
        <w:t xml:space="preserve">I figur </w:t>
      </w:r>
      <w:r w:rsidR="006D23F9">
        <w:t>57</w:t>
      </w:r>
      <w:r>
        <w:t xml:space="preserve"> vises arbeidsplassutviklingen. Antall arbeidsplasser forventes å øk</w:t>
      </w:r>
      <w:r w:rsidR="000B20AC">
        <w:t>e</w:t>
      </w:r>
      <w:r>
        <w:t xml:space="preserve"> litt de første årene, for deretter å synke. Årsaken til det synkende antall arbeidsplasser er at bransjestrukturen i </w:t>
      </w:r>
      <w:proofErr w:type="spellStart"/>
      <w:r w:rsidR="006D23F9">
        <w:t>Glåmdal</w:t>
      </w:r>
      <w:proofErr w:type="spellEnd"/>
      <w:r w:rsidR="006D23F9">
        <w:t xml:space="preserve"> </w:t>
      </w:r>
      <w:r>
        <w:t xml:space="preserve">har vært uheldig, og at de strukturelle trekkene i bransjenes vekst </w:t>
      </w:r>
      <w:r w:rsidR="006D23F9">
        <w:t xml:space="preserve">er antatt å </w:t>
      </w:r>
      <w:r>
        <w:t>fortsette</w:t>
      </w:r>
      <w:r w:rsidR="006D23F9">
        <w:t xml:space="preserve"> i modellen</w:t>
      </w:r>
      <w:r>
        <w:t xml:space="preserve">. </w:t>
      </w:r>
      <w:r w:rsidR="006D23F9">
        <w:t xml:space="preserve">Som vi har vært inne på tidligere, kan den strukturelle utviklingen blir mer fordelaktig for </w:t>
      </w:r>
      <w:proofErr w:type="spellStart"/>
      <w:r w:rsidR="006D23F9">
        <w:t>Glåmdal</w:t>
      </w:r>
      <w:proofErr w:type="spellEnd"/>
      <w:r w:rsidR="006D23F9">
        <w:t xml:space="preserve"> de neste årene.</w:t>
      </w:r>
    </w:p>
    <w:p w:rsidR="003F46FA" w:rsidRDefault="003F46FA" w:rsidP="003F46FA">
      <w:r>
        <w:t>Lav befolkningsvekst påvirker også arbeidsplassveksten i kommunal sektor, lokale næringer, besøksnæringer og de regionale næringene negativt.</w:t>
      </w:r>
    </w:p>
    <w:p w:rsidR="003F46FA" w:rsidRDefault="006D23F9" w:rsidP="003F46FA">
      <w:proofErr w:type="spellStart"/>
      <w:r>
        <w:t>Glåmdal</w:t>
      </w:r>
      <w:proofErr w:type="spellEnd"/>
      <w:r>
        <w:t xml:space="preserve"> </w:t>
      </w:r>
      <w:r w:rsidR="003F46FA">
        <w:t xml:space="preserve">har også </w:t>
      </w:r>
      <w:r w:rsidR="00960B8B">
        <w:t>noen ulemper når det gjelder fremtidig arbeidsplassvekst gjennom at de har en negativ fødselsbalanse. Denne vil fortsette å være negativ de neste årene. Når det forventes at Norges nettoinnvandring skal bli mye lavere, vil det bli stadig vanskeligere å få nok nettoflytting til å kompensere for fødselsunderskuddet.</w:t>
      </w:r>
    </w:p>
    <w:p w:rsidR="000B20AC" w:rsidRDefault="000B20AC" w:rsidP="003F46FA">
      <w:r>
        <w:t xml:space="preserve">Konklusjonen er at både befolkning og antall arbeidsplasser i </w:t>
      </w:r>
      <w:proofErr w:type="spellStart"/>
      <w:r w:rsidR="006D23F9">
        <w:t>Glåmdal</w:t>
      </w:r>
      <w:proofErr w:type="spellEnd"/>
      <w:r w:rsidR="006D23F9">
        <w:t xml:space="preserve"> </w:t>
      </w:r>
      <w:r>
        <w:t>vil synke, dersom de strukturelle forholdene forblir uendret, og regionen utvikler seg som normalt. Dermed må regionen ha en utviklingsstrategi som er mer effektiv enn andre regioner for å unngå nedgang.</w:t>
      </w:r>
    </w:p>
    <w:p w:rsidR="00960B8B" w:rsidRDefault="00960B8B" w:rsidP="003F46FA"/>
    <w:p w:rsidR="003F46FA" w:rsidRDefault="003F46FA" w:rsidP="003F46FA">
      <w:r>
        <w:br w:type="column"/>
      </w:r>
    </w:p>
    <w:p w:rsidR="003F46FA" w:rsidRDefault="00990377" w:rsidP="003F46FA">
      <w:pPr>
        <w:pStyle w:val="Bildetekst"/>
      </w:pPr>
      <w:r>
        <w:rPr>
          <w:noProof/>
          <w:lang w:eastAsia="nb-NO"/>
        </w:rPr>
        <w:drawing>
          <wp:inline distT="0" distB="0" distL="0" distR="0">
            <wp:extent cx="3067050" cy="3181350"/>
            <wp:effectExtent l="0" t="0" r="0" b="0"/>
            <wp:docPr id="72" name="Diagram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3F46FA">
        <w:t xml:space="preserve">Figur </w:t>
      </w:r>
      <w:r w:rsidR="004B3D9E">
        <w:fldChar w:fldCharType="begin"/>
      </w:r>
      <w:r w:rsidR="003F46FA">
        <w:instrText xml:space="preserve"> SEQ Figur \* ARABIC </w:instrText>
      </w:r>
      <w:r w:rsidR="004B3D9E">
        <w:fldChar w:fldCharType="separate"/>
      </w:r>
      <w:r w:rsidR="00CD5BFF">
        <w:rPr>
          <w:noProof/>
        </w:rPr>
        <w:t>56</w:t>
      </w:r>
      <w:r w:rsidR="004B3D9E">
        <w:fldChar w:fldCharType="end"/>
      </w:r>
      <w:r w:rsidR="003F46FA">
        <w:t xml:space="preserve">: Antall innbyggere i </w:t>
      </w:r>
      <w:proofErr w:type="spellStart"/>
      <w:r>
        <w:t>Glåmdal</w:t>
      </w:r>
      <w:proofErr w:type="spellEnd"/>
      <w:r w:rsidR="003F46FA">
        <w:t xml:space="preserve">, fremskrevet til 2040. </w:t>
      </w:r>
      <w:proofErr w:type="spellStart"/>
      <w:r w:rsidR="003F46FA">
        <w:t>Normalscenariet</w:t>
      </w:r>
      <w:proofErr w:type="spellEnd"/>
      <w:r w:rsidR="003F46FA">
        <w:t xml:space="preserve"> og </w:t>
      </w:r>
      <w:proofErr w:type="spellStart"/>
      <w:r w:rsidR="003F46FA">
        <w:t>SSBs</w:t>
      </w:r>
      <w:proofErr w:type="spellEnd"/>
      <w:r w:rsidR="003F46FA">
        <w:t xml:space="preserve"> middelframskriving.</w:t>
      </w:r>
    </w:p>
    <w:p w:rsidR="003F46FA" w:rsidRDefault="00990377" w:rsidP="003F46FA">
      <w:pPr>
        <w:pStyle w:val="Bildetekst"/>
        <w:sectPr w:rsidR="003F46FA" w:rsidSect="00687F25">
          <w:type w:val="continuous"/>
          <w:pgSz w:w="11907" w:h="16840" w:code="9"/>
          <w:pgMar w:top="1440" w:right="1080" w:bottom="1440" w:left="1080" w:header="709" w:footer="709" w:gutter="0"/>
          <w:cols w:num="2" w:space="282"/>
          <w:docGrid w:linePitch="360"/>
        </w:sectPr>
      </w:pPr>
      <w:r>
        <w:rPr>
          <w:noProof/>
          <w:lang w:eastAsia="nb-NO"/>
        </w:rPr>
        <w:drawing>
          <wp:inline distT="0" distB="0" distL="0" distR="0">
            <wp:extent cx="3143250" cy="2847975"/>
            <wp:effectExtent l="0" t="0" r="0" b="0"/>
            <wp:docPr id="78" name="Diagram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3F46FA">
        <w:t xml:space="preserve">Figur </w:t>
      </w:r>
      <w:r w:rsidR="004B3D9E">
        <w:fldChar w:fldCharType="begin"/>
      </w:r>
      <w:r w:rsidR="003F46FA">
        <w:instrText xml:space="preserve"> SEQ Figur \* ARABIC </w:instrText>
      </w:r>
      <w:r w:rsidR="004B3D9E">
        <w:fldChar w:fldCharType="separate"/>
      </w:r>
      <w:r w:rsidR="00CD5BFF">
        <w:rPr>
          <w:noProof/>
        </w:rPr>
        <w:t>57</w:t>
      </w:r>
      <w:r w:rsidR="004B3D9E">
        <w:fldChar w:fldCharType="end"/>
      </w:r>
      <w:r w:rsidR="003F46FA">
        <w:t xml:space="preserve">: </w:t>
      </w:r>
      <w:r w:rsidR="00FF4753">
        <w:t xml:space="preserve">Normalscenario for arbeidsplassvekst i </w:t>
      </w:r>
      <w:proofErr w:type="spellStart"/>
      <w:r w:rsidR="006D23F9">
        <w:t>Glåmdal</w:t>
      </w:r>
      <w:proofErr w:type="spellEnd"/>
      <w:r w:rsidR="00FF4753">
        <w:t>.</w:t>
      </w:r>
    </w:p>
    <w:p w:rsidR="003F46FA" w:rsidRDefault="003F46FA" w:rsidP="003F46FA"/>
    <w:p w:rsidR="003F46FA" w:rsidRDefault="003F46FA" w:rsidP="003F46FA">
      <w:pPr>
        <w:spacing w:after="0" w:line="240" w:lineRule="auto"/>
        <w:rPr>
          <w:rFonts w:eastAsia="Times New Roman"/>
          <w:sz w:val="32"/>
          <w:szCs w:val="20"/>
        </w:rPr>
      </w:pPr>
      <w:r>
        <w:br w:type="page"/>
      </w:r>
    </w:p>
    <w:p w:rsidR="003F46FA" w:rsidRDefault="003F46FA" w:rsidP="003F46FA">
      <w:pPr>
        <w:pStyle w:val="Overskrift2"/>
      </w:pPr>
      <w:r>
        <w:lastRenderedPageBreak/>
        <w:t xml:space="preserve">Alternative </w:t>
      </w:r>
      <w:proofErr w:type="spellStart"/>
      <w:r>
        <w:t>scenarier</w:t>
      </w:r>
      <w:proofErr w:type="spellEnd"/>
      <w:r>
        <w:t xml:space="preserve"> med attraktivitet</w:t>
      </w:r>
    </w:p>
    <w:p w:rsidR="003F46FA" w:rsidRDefault="000B20AC" w:rsidP="003F46FA">
      <w:proofErr w:type="spellStart"/>
      <w:r>
        <w:t>Normal</w:t>
      </w:r>
      <w:r w:rsidR="003F46FA">
        <w:t>scenariet</w:t>
      </w:r>
      <w:proofErr w:type="spellEnd"/>
      <w:r w:rsidR="003F46FA">
        <w:t xml:space="preserve"> er basert på at utviklingen i kommunen er absolutt normal, både med hensyn til arbeidsplassvekst i de enkelte bransjene, og med hensyn til nettoflytting i forhold til arbeidsplassvekst og strukturelle forhold. Attraktivitetsmodellen er basert på at kommuner kan påvirke egen vekst, og oppnå en bedre utvikling enn slike framskrivninger tilsier. Attraktivitet er «statistisk unormal» vekst. </w:t>
      </w:r>
    </w:p>
    <w:p w:rsidR="003F46FA" w:rsidRDefault="003F46FA" w:rsidP="003F46FA">
      <w:r>
        <w:t xml:space="preserve">Vi vil derfor utvide scenariomodellen gjennom å legge inn </w:t>
      </w:r>
      <w:r w:rsidR="000B20AC">
        <w:t xml:space="preserve">historisk attraktivitet for regionen, og deretter legger vi inn </w:t>
      </w:r>
      <w:r>
        <w:t>ulike forutsetni</w:t>
      </w:r>
      <w:r w:rsidR="000B20AC">
        <w:t>nger om framtidig attraktivitet som vil skape vekst i regionen.</w:t>
      </w:r>
    </w:p>
    <w:p w:rsidR="003F46FA" w:rsidRDefault="003F46FA" w:rsidP="003F46FA"/>
    <w:bookmarkStart w:id="55" w:name="_MON_1468753870"/>
    <w:bookmarkEnd w:id="55"/>
    <w:p w:rsidR="003F46FA" w:rsidRDefault="003F46FA" w:rsidP="003F46FA">
      <w:pPr>
        <w:keepNext/>
      </w:pPr>
      <w:r>
        <w:object w:dxaOrig="9607" w:dyaOrig="5403">
          <v:shape id="_x0000_i1034" type="#_x0000_t75" style="width:482.5pt;height:266.5pt" o:ole="">
            <v:imagedata r:id="rId82" o:title=""/>
          </v:shape>
          <o:OLEObject Type="Embed" ProgID="PowerPoint.Slide.12" ShapeID="_x0000_i1034" DrawAspect="Content" ObjectID="_1484073985" r:id="rId83"/>
        </w:object>
      </w:r>
    </w:p>
    <w:p w:rsidR="003F46FA" w:rsidRPr="00556AEF" w:rsidRDefault="003F46FA" w:rsidP="003F46FA">
      <w:pPr>
        <w:pStyle w:val="Bildetekst"/>
      </w:pPr>
      <w:r>
        <w:t xml:space="preserve">Figur </w:t>
      </w:r>
      <w:r w:rsidR="004B3D9E">
        <w:fldChar w:fldCharType="begin"/>
      </w:r>
      <w:r>
        <w:instrText xml:space="preserve"> SEQ Figur \* ARABIC </w:instrText>
      </w:r>
      <w:r w:rsidR="004B3D9E">
        <w:fldChar w:fldCharType="separate"/>
      </w:r>
      <w:r w:rsidR="00CD5BFF">
        <w:rPr>
          <w:noProof/>
        </w:rPr>
        <w:t>58</w:t>
      </w:r>
      <w:r w:rsidR="004B3D9E">
        <w:fldChar w:fldCharType="end"/>
      </w:r>
      <w:r>
        <w:t xml:space="preserve">: </w:t>
      </w:r>
      <w:proofErr w:type="spellStart"/>
      <w:r>
        <w:t>Scenario-modellen</w:t>
      </w:r>
      <w:proofErr w:type="spellEnd"/>
      <w:r>
        <w:t xml:space="preserve"> utvidet med attraktivitet for besøk, bedrift og bosted. </w:t>
      </w:r>
    </w:p>
    <w:p w:rsidR="003F46FA" w:rsidRDefault="003F46FA" w:rsidP="003F46FA"/>
    <w:p w:rsidR="003F46FA" w:rsidRDefault="003F46FA" w:rsidP="003F46FA">
      <w:r>
        <w:t xml:space="preserve">I denne modellen kan vi legge inn verdiene for historisk attraktivitet, dvs. den attraktiviteten som </w:t>
      </w:r>
      <w:r w:rsidR="000B20AC">
        <w:t>regionen</w:t>
      </w:r>
      <w:r>
        <w:t xml:space="preserve"> har hatt de siste årene. Da kan vi se hvilken utvikling </w:t>
      </w:r>
      <w:r w:rsidR="000B20AC">
        <w:t>regionen</w:t>
      </w:r>
      <w:r>
        <w:t xml:space="preserve"> vil få dersom de fortsetter med den attraktiviteten de har hatt for bosted, bedrifter og besøk i de siste årene. </w:t>
      </w:r>
    </w:p>
    <w:p w:rsidR="00D26089" w:rsidRDefault="00D26089" w:rsidP="003F46FA">
      <w:r>
        <w:t xml:space="preserve">I de foregående kapitlene har vi sett at </w:t>
      </w:r>
      <w:proofErr w:type="spellStart"/>
      <w:r w:rsidR="006D23F9">
        <w:t>Glåmdal</w:t>
      </w:r>
      <w:proofErr w:type="spellEnd"/>
      <w:r w:rsidR="006D23F9">
        <w:t xml:space="preserve"> </w:t>
      </w:r>
      <w:r>
        <w:t xml:space="preserve">har hatt ganske god </w:t>
      </w:r>
      <w:proofErr w:type="spellStart"/>
      <w:r>
        <w:t>bosteds</w:t>
      </w:r>
      <w:r w:rsidR="006D23F9">
        <w:t>atraktivitet</w:t>
      </w:r>
      <w:proofErr w:type="spellEnd"/>
      <w:r>
        <w:t xml:space="preserve">, men svak </w:t>
      </w:r>
      <w:proofErr w:type="spellStart"/>
      <w:r w:rsidR="006D23F9">
        <w:t>næringsattraktivite</w:t>
      </w:r>
      <w:proofErr w:type="spellEnd"/>
      <w:r>
        <w:t xml:space="preserve">. På neste side vil vi se hvilken utvikling </w:t>
      </w:r>
      <w:proofErr w:type="spellStart"/>
      <w:r w:rsidR="006D23F9">
        <w:t>Glåmdal</w:t>
      </w:r>
      <w:proofErr w:type="spellEnd"/>
      <w:r w:rsidR="006D23F9">
        <w:t xml:space="preserve"> </w:t>
      </w:r>
      <w:r>
        <w:t>vil få hvis dette fortsetter.</w:t>
      </w:r>
    </w:p>
    <w:p w:rsidR="003F46FA" w:rsidRDefault="003F46FA" w:rsidP="003F46FA">
      <w:pPr>
        <w:spacing w:after="0" w:line="240" w:lineRule="auto"/>
      </w:pPr>
      <w:r>
        <w:br w:type="page"/>
      </w:r>
    </w:p>
    <w:p w:rsidR="00960B8B" w:rsidRDefault="00960B8B" w:rsidP="00960B8B">
      <w:pPr>
        <w:pStyle w:val="Overskrift2"/>
        <w:sectPr w:rsidR="00960B8B" w:rsidSect="00687F25">
          <w:type w:val="continuous"/>
          <w:pgSz w:w="11907" w:h="16840" w:code="9"/>
          <w:pgMar w:top="1440" w:right="1080" w:bottom="1440" w:left="1080" w:header="709" w:footer="709" w:gutter="0"/>
          <w:cols w:space="708"/>
          <w:docGrid w:linePitch="360"/>
        </w:sectPr>
      </w:pPr>
    </w:p>
    <w:p w:rsidR="003F46FA" w:rsidRDefault="003F46FA" w:rsidP="00960B8B">
      <w:pPr>
        <w:pStyle w:val="Overskrift2"/>
      </w:pPr>
      <w:proofErr w:type="spellStart"/>
      <w:r>
        <w:lastRenderedPageBreak/>
        <w:t>Scenarier</w:t>
      </w:r>
      <w:proofErr w:type="spellEnd"/>
      <w:r>
        <w:t xml:space="preserve"> for </w:t>
      </w:r>
      <w:r w:rsidR="00960B8B">
        <w:t>med historisk attraktivitet</w:t>
      </w:r>
      <w:r>
        <w:t xml:space="preserve"> </w:t>
      </w:r>
    </w:p>
    <w:p w:rsidR="00960B8B" w:rsidRDefault="002A2B21" w:rsidP="00960B8B">
      <w:r>
        <w:t xml:space="preserve">Vi kan legge inn </w:t>
      </w:r>
      <w:r w:rsidR="00D26089">
        <w:t xml:space="preserve">de historiske </w:t>
      </w:r>
      <w:r>
        <w:t>verdiene</w:t>
      </w:r>
      <w:r w:rsidR="00D26089">
        <w:rPr>
          <w:rStyle w:val="Sluttnotereferanse"/>
        </w:rPr>
        <w:endnoteReference w:id="3"/>
      </w:r>
      <w:r>
        <w:t xml:space="preserve"> for </w:t>
      </w:r>
      <w:proofErr w:type="spellStart"/>
      <w:r w:rsidR="006D23F9">
        <w:t>Glåmdal</w:t>
      </w:r>
      <w:proofErr w:type="spellEnd"/>
      <w:r>
        <w:t xml:space="preserve"> attraktivitet som bosted, og attraktiviteten for basisnæringer, besøksnæringer og regionale næringer i modellen, og se hvilken utvikling som det fører til.</w:t>
      </w:r>
    </w:p>
    <w:p w:rsidR="002A2B21" w:rsidRDefault="002A2B21" w:rsidP="002A2B21">
      <w:pPr>
        <w:pStyle w:val="Bildetekst"/>
        <w:keepNext/>
      </w:pPr>
      <w:r>
        <w:t xml:space="preserve">Tabell </w:t>
      </w:r>
      <w:r w:rsidR="004B3D9E">
        <w:fldChar w:fldCharType="begin"/>
      </w:r>
      <w:r>
        <w:instrText xml:space="preserve"> SEQ Tabell \* ARABIC </w:instrText>
      </w:r>
      <w:r w:rsidR="004B3D9E">
        <w:fldChar w:fldCharType="separate"/>
      </w:r>
      <w:r w:rsidR="00CD5BFF">
        <w:rPr>
          <w:noProof/>
        </w:rPr>
        <w:t>7</w:t>
      </w:r>
      <w:r w:rsidR="004B3D9E">
        <w:fldChar w:fldCharType="end"/>
      </w:r>
      <w:r>
        <w:t xml:space="preserve">: Historiske verdier for attraktiviteten i </w:t>
      </w:r>
      <w:proofErr w:type="spellStart"/>
      <w:r w:rsidR="006D23F9">
        <w:t>Glåmdal</w:t>
      </w:r>
      <w:proofErr w:type="spellEnd"/>
      <w:r>
        <w:t xml:space="preserve"> og standardavviket for alle regioners attraktivitet.</w:t>
      </w:r>
    </w:p>
    <w:tbl>
      <w:tblPr>
        <w:tblW w:w="42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tblPr>
      <w:tblGrid>
        <w:gridCol w:w="2160"/>
        <w:gridCol w:w="1108"/>
        <w:gridCol w:w="1008"/>
      </w:tblGrid>
      <w:tr w:rsidR="00806D4D" w:rsidRPr="005362E1" w:rsidTr="005362E1">
        <w:trPr>
          <w:trHeight w:val="227"/>
        </w:trPr>
        <w:tc>
          <w:tcPr>
            <w:tcW w:w="2160" w:type="dxa"/>
            <w:shd w:val="clear" w:color="auto" w:fill="auto"/>
            <w:noWrap/>
            <w:vAlign w:val="bottom"/>
            <w:hideMark/>
          </w:tcPr>
          <w:p w:rsidR="00806D4D" w:rsidRPr="005362E1" w:rsidRDefault="00806D4D" w:rsidP="00806D4D">
            <w:pPr>
              <w:spacing w:after="0" w:line="240" w:lineRule="auto"/>
              <w:rPr>
                <w:rFonts w:ascii="Arial" w:eastAsia="Times New Roman" w:hAnsi="Arial" w:cs="Arial"/>
                <w:color w:val="000000"/>
                <w:sz w:val="18"/>
                <w:szCs w:val="20"/>
                <w:lang w:eastAsia="nb-NO"/>
              </w:rPr>
            </w:pPr>
            <w:r w:rsidRPr="005362E1">
              <w:rPr>
                <w:rFonts w:ascii="Arial" w:eastAsia="Times New Roman" w:hAnsi="Arial" w:cs="Arial"/>
                <w:color w:val="000000"/>
                <w:sz w:val="18"/>
                <w:szCs w:val="20"/>
                <w:lang w:eastAsia="nb-NO"/>
              </w:rPr>
              <w:t> </w:t>
            </w:r>
          </w:p>
        </w:tc>
        <w:tc>
          <w:tcPr>
            <w:tcW w:w="1108" w:type="dxa"/>
            <w:shd w:val="clear" w:color="auto" w:fill="auto"/>
            <w:noWrap/>
            <w:vAlign w:val="bottom"/>
            <w:hideMark/>
          </w:tcPr>
          <w:p w:rsidR="00806D4D" w:rsidRPr="005362E1" w:rsidRDefault="00806D4D" w:rsidP="00806D4D">
            <w:pPr>
              <w:spacing w:after="0" w:line="240" w:lineRule="auto"/>
              <w:rPr>
                <w:rFonts w:ascii="Arial" w:eastAsia="Times New Roman" w:hAnsi="Arial" w:cs="Arial"/>
                <w:b/>
                <w:bCs/>
                <w:color w:val="000000"/>
                <w:sz w:val="18"/>
                <w:szCs w:val="20"/>
                <w:lang w:eastAsia="nb-NO"/>
              </w:rPr>
            </w:pPr>
            <w:r w:rsidRPr="005362E1">
              <w:rPr>
                <w:rFonts w:ascii="Arial" w:eastAsia="Times New Roman" w:hAnsi="Arial" w:cs="Arial"/>
                <w:b/>
                <w:bCs/>
                <w:color w:val="000000"/>
                <w:sz w:val="18"/>
                <w:szCs w:val="20"/>
                <w:lang w:eastAsia="nb-NO"/>
              </w:rPr>
              <w:t>Historisk</w:t>
            </w:r>
          </w:p>
        </w:tc>
        <w:tc>
          <w:tcPr>
            <w:tcW w:w="1008" w:type="dxa"/>
            <w:shd w:val="clear" w:color="auto" w:fill="auto"/>
            <w:noWrap/>
            <w:vAlign w:val="bottom"/>
            <w:hideMark/>
          </w:tcPr>
          <w:p w:rsidR="00806D4D" w:rsidRPr="005362E1" w:rsidRDefault="00806D4D" w:rsidP="00806D4D">
            <w:pPr>
              <w:spacing w:after="0" w:line="240" w:lineRule="auto"/>
              <w:rPr>
                <w:rFonts w:ascii="Arial" w:eastAsia="Times New Roman" w:hAnsi="Arial" w:cs="Arial"/>
                <w:b/>
                <w:bCs/>
                <w:color w:val="000000"/>
                <w:sz w:val="18"/>
                <w:szCs w:val="20"/>
                <w:lang w:eastAsia="nb-NO"/>
              </w:rPr>
            </w:pPr>
            <w:r w:rsidRPr="005362E1">
              <w:rPr>
                <w:rFonts w:ascii="Arial" w:eastAsia="Times New Roman" w:hAnsi="Arial" w:cs="Arial"/>
                <w:b/>
                <w:bCs/>
                <w:color w:val="000000"/>
                <w:sz w:val="18"/>
                <w:szCs w:val="20"/>
                <w:lang w:eastAsia="nb-NO"/>
              </w:rPr>
              <w:t>St avvik</w:t>
            </w:r>
          </w:p>
        </w:tc>
      </w:tr>
      <w:tr w:rsidR="00990377" w:rsidRPr="005362E1" w:rsidTr="005362E1">
        <w:trPr>
          <w:trHeight w:val="227"/>
        </w:trPr>
        <w:tc>
          <w:tcPr>
            <w:tcW w:w="2160" w:type="dxa"/>
            <w:shd w:val="clear" w:color="000000" w:fill="DDD9C4"/>
            <w:noWrap/>
            <w:vAlign w:val="bottom"/>
            <w:hideMark/>
          </w:tcPr>
          <w:p w:rsidR="00990377" w:rsidRPr="005362E1" w:rsidRDefault="00990377" w:rsidP="00990377">
            <w:pPr>
              <w:spacing w:after="0" w:line="240" w:lineRule="auto"/>
              <w:rPr>
                <w:rFonts w:ascii="Arial" w:eastAsia="Times New Roman" w:hAnsi="Arial" w:cs="Arial"/>
                <w:color w:val="000000"/>
                <w:sz w:val="18"/>
                <w:szCs w:val="20"/>
                <w:lang w:eastAsia="nb-NO"/>
              </w:rPr>
            </w:pPr>
            <w:r w:rsidRPr="005362E1">
              <w:rPr>
                <w:rFonts w:ascii="Arial" w:eastAsia="Times New Roman" w:hAnsi="Arial" w:cs="Arial"/>
                <w:color w:val="000000"/>
                <w:sz w:val="18"/>
                <w:szCs w:val="20"/>
                <w:lang w:eastAsia="nb-NO"/>
              </w:rPr>
              <w:t>Bostedsattraktivitet</w:t>
            </w:r>
          </w:p>
        </w:tc>
        <w:tc>
          <w:tcPr>
            <w:tcW w:w="1108" w:type="dxa"/>
            <w:shd w:val="clear" w:color="auto" w:fill="auto"/>
            <w:noWrap/>
            <w:vAlign w:val="bottom"/>
            <w:hideMark/>
          </w:tcPr>
          <w:p w:rsidR="00990377" w:rsidRPr="005362E1" w:rsidRDefault="00990377" w:rsidP="00990377">
            <w:pPr>
              <w:spacing w:after="0"/>
              <w:jc w:val="right"/>
              <w:rPr>
                <w:rFonts w:ascii="Arial" w:hAnsi="Arial" w:cs="Arial"/>
                <w:color w:val="000000"/>
                <w:sz w:val="18"/>
                <w:szCs w:val="20"/>
              </w:rPr>
            </w:pPr>
            <w:r w:rsidRPr="005362E1">
              <w:rPr>
                <w:rFonts w:ascii="Arial" w:hAnsi="Arial" w:cs="Arial"/>
                <w:color w:val="000000"/>
                <w:sz w:val="18"/>
                <w:szCs w:val="20"/>
              </w:rPr>
              <w:t>0,3</w:t>
            </w:r>
          </w:p>
        </w:tc>
        <w:tc>
          <w:tcPr>
            <w:tcW w:w="1008" w:type="dxa"/>
            <w:shd w:val="clear" w:color="auto" w:fill="auto"/>
            <w:noWrap/>
            <w:vAlign w:val="bottom"/>
            <w:hideMark/>
          </w:tcPr>
          <w:p w:rsidR="00990377" w:rsidRPr="005362E1" w:rsidRDefault="00990377" w:rsidP="00990377">
            <w:pPr>
              <w:spacing w:after="0" w:line="240" w:lineRule="auto"/>
              <w:jc w:val="right"/>
              <w:rPr>
                <w:rFonts w:ascii="Arial" w:eastAsia="Times New Roman" w:hAnsi="Arial" w:cs="Arial"/>
                <w:color w:val="000000"/>
                <w:sz w:val="18"/>
                <w:szCs w:val="20"/>
                <w:lang w:eastAsia="nb-NO"/>
              </w:rPr>
            </w:pPr>
            <w:r w:rsidRPr="005362E1">
              <w:rPr>
                <w:rFonts w:ascii="Arial" w:eastAsia="Times New Roman" w:hAnsi="Arial" w:cs="Arial"/>
                <w:color w:val="000000"/>
                <w:sz w:val="18"/>
                <w:szCs w:val="20"/>
                <w:lang w:eastAsia="nb-NO"/>
              </w:rPr>
              <w:t>0,4</w:t>
            </w:r>
          </w:p>
        </w:tc>
      </w:tr>
      <w:tr w:rsidR="00990377" w:rsidRPr="005362E1" w:rsidTr="005362E1">
        <w:trPr>
          <w:trHeight w:val="227"/>
        </w:trPr>
        <w:tc>
          <w:tcPr>
            <w:tcW w:w="2160" w:type="dxa"/>
            <w:shd w:val="clear" w:color="000000" w:fill="DDD9C4"/>
            <w:noWrap/>
            <w:vAlign w:val="bottom"/>
            <w:hideMark/>
          </w:tcPr>
          <w:p w:rsidR="00990377" w:rsidRPr="005362E1" w:rsidRDefault="00990377" w:rsidP="00990377">
            <w:pPr>
              <w:spacing w:after="0" w:line="240" w:lineRule="auto"/>
              <w:rPr>
                <w:rFonts w:ascii="Arial" w:eastAsia="Times New Roman" w:hAnsi="Arial" w:cs="Arial"/>
                <w:color w:val="000000"/>
                <w:sz w:val="18"/>
                <w:szCs w:val="20"/>
                <w:lang w:eastAsia="nb-NO"/>
              </w:rPr>
            </w:pPr>
            <w:r w:rsidRPr="005362E1">
              <w:rPr>
                <w:rFonts w:ascii="Arial" w:eastAsia="Times New Roman" w:hAnsi="Arial" w:cs="Arial"/>
                <w:color w:val="000000"/>
                <w:sz w:val="18"/>
                <w:szCs w:val="20"/>
                <w:lang w:eastAsia="nb-NO"/>
              </w:rPr>
              <w:t>Basis attraktivitet</w:t>
            </w:r>
          </w:p>
        </w:tc>
        <w:tc>
          <w:tcPr>
            <w:tcW w:w="1108" w:type="dxa"/>
            <w:shd w:val="clear" w:color="auto" w:fill="auto"/>
            <w:noWrap/>
            <w:vAlign w:val="bottom"/>
            <w:hideMark/>
          </w:tcPr>
          <w:p w:rsidR="00990377" w:rsidRPr="005362E1" w:rsidRDefault="00990377" w:rsidP="00990377">
            <w:pPr>
              <w:spacing w:after="0"/>
              <w:jc w:val="right"/>
              <w:rPr>
                <w:rFonts w:ascii="Arial" w:hAnsi="Arial" w:cs="Arial"/>
                <w:color w:val="000000"/>
                <w:sz w:val="18"/>
                <w:szCs w:val="20"/>
              </w:rPr>
            </w:pPr>
            <w:r w:rsidRPr="005362E1">
              <w:rPr>
                <w:rFonts w:ascii="Arial" w:hAnsi="Arial" w:cs="Arial"/>
                <w:color w:val="000000"/>
                <w:sz w:val="18"/>
                <w:szCs w:val="20"/>
              </w:rPr>
              <w:t>-1,1</w:t>
            </w:r>
          </w:p>
        </w:tc>
        <w:tc>
          <w:tcPr>
            <w:tcW w:w="1008" w:type="dxa"/>
            <w:shd w:val="clear" w:color="auto" w:fill="auto"/>
            <w:noWrap/>
            <w:vAlign w:val="bottom"/>
            <w:hideMark/>
          </w:tcPr>
          <w:p w:rsidR="00990377" w:rsidRPr="005362E1" w:rsidRDefault="00990377" w:rsidP="00990377">
            <w:pPr>
              <w:spacing w:after="0" w:line="240" w:lineRule="auto"/>
              <w:jc w:val="right"/>
              <w:rPr>
                <w:rFonts w:ascii="Arial" w:eastAsia="Times New Roman" w:hAnsi="Arial" w:cs="Arial"/>
                <w:color w:val="000000"/>
                <w:sz w:val="18"/>
                <w:szCs w:val="20"/>
                <w:lang w:eastAsia="nb-NO"/>
              </w:rPr>
            </w:pPr>
            <w:r w:rsidRPr="005362E1">
              <w:rPr>
                <w:rFonts w:ascii="Arial" w:eastAsia="Times New Roman" w:hAnsi="Arial" w:cs="Arial"/>
                <w:color w:val="000000"/>
                <w:sz w:val="18"/>
                <w:szCs w:val="20"/>
                <w:lang w:eastAsia="nb-NO"/>
              </w:rPr>
              <w:t>3,7</w:t>
            </w:r>
          </w:p>
        </w:tc>
      </w:tr>
      <w:tr w:rsidR="00990377" w:rsidRPr="005362E1" w:rsidTr="005362E1">
        <w:trPr>
          <w:trHeight w:val="227"/>
        </w:trPr>
        <w:tc>
          <w:tcPr>
            <w:tcW w:w="2160" w:type="dxa"/>
            <w:shd w:val="clear" w:color="000000" w:fill="DDD9C4"/>
            <w:noWrap/>
            <w:vAlign w:val="bottom"/>
            <w:hideMark/>
          </w:tcPr>
          <w:p w:rsidR="00990377" w:rsidRPr="005362E1" w:rsidRDefault="00990377" w:rsidP="00990377">
            <w:pPr>
              <w:spacing w:after="0" w:line="240" w:lineRule="auto"/>
              <w:rPr>
                <w:rFonts w:ascii="Arial" w:eastAsia="Times New Roman" w:hAnsi="Arial" w:cs="Arial"/>
                <w:color w:val="000000"/>
                <w:sz w:val="18"/>
                <w:szCs w:val="20"/>
                <w:lang w:eastAsia="nb-NO"/>
              </w:rPr>
            </w:pPr>
            <w:r w:rsidRPr="005362E1">
              <w:rPr>
                <w:rFonts w:ascii="Arial" w:eastAsia="Times New Roman" w:hAnsi="Arial" w:cs="Arial"/>
                <w:color w:val="000000"/>
                <w:sz w:val="18"/>
                <w:szCs w:val="20"/>
                <w:lang w:eastAsia="nb-NO"/>
              </w:rPr>
              <w:t>Besøk attraktivitet</w:t>
            </w:r>
          </w:p>
        </w:tc>
        <w:tc>
          <w:tcPr>
            <w:tcW w:w="1108" w:type="dxa"/>
            <w:shd w:val="clear" w:color="auto" w:fill="auto"/>
            <w:noWrap/>
            <w:vAlign w:val="bottom"/>
            <w:hideMark/>
          </w:tcPr>
          <w:p w:rsidR="00990377" w:rsidRPr="005362E1" w:rsidRDefault="00990377" w:rsidP="00990377">
            <w:pPr>
              <w:spacing w:after="0"/>
              <w:jc w:val="right"/>
              <w:rPr>
                <w:rFonts w:ascii="Arial" w:hAnsi="Arial" w:cs="Arial"/>
                <w:color w:val="000000"/>
                <w:sz w:val="18"/>
                <w:szCs w:val="20"/>
              </w:rPr>
            </w:pPr>
            <w:r w:rsidRPr="005362E1">
              <w:rPr>
                <w:rFonts w:ascii="Arial" w:hAnsi="Arial" w:cs="Arial"/>
                <w:color w:val="000000"/>
                <w:sz w:val="18"/>
                <w:szCs w:val="20"/>
              </w:rPr>
              <w:t>-0,3</w:t>
            </w:r>
          </w:p>
        </w:tc>
        <w:tc>
          <w:tcPr>
            <w:tcW w:w="1008" w:type="dxa"/>
            <w:shd w:val="clear" w:color="auto" w:fill="auto"/>
            <w:noWrap/>
            <w:vAlign w:val="bottom"/>
            <w:hideMark/>
          </w:tcPr>
          <w:p w:rsidR="00990377" w:rsidRPr="005362E1" w:rsidRDefault="00990377" w:rsidP="00990377">
            <w:pPr>
              <w:spacing w:after="0" w:line="240" w:lineRule="auto"/>
              <w:jc w:val="right"/>
              <w:rPr>
                <w:rFonts w:ascii="Arial" w:eastAsia="Times New Roman" w:hAnsi="Arial" w:cs="Arial"/>
                <w:color w:val="000000"/>
                <w:sz w:val="18"/>
                <w:szCs w:val="20"/>
                <w:lang w:eastAsia="nb-NO"/>
              </w:rPr>
            </w:pPr>
            <w:r w:rsidRPr="005362E1">
              <w:rPr>
                <w:rFonts w:ascii="Arial" w:eastAsia="Times New Roman" w:hAnsi="Arial" w:cs="Arial"/>
                <w:color w:val="000000"/>
                <w:sz w:val="18"/>
                <w:szCs w:val="20"/>
                <w:lang w:eastAsia="nb-NO"/>
              </w:rPr>
              <w:t>3,0</w:t>
            </w:r>
          </w:p>
        </w:tc>
      </w:tr>
      <w:tr w:rsidR="00990377" w:rsidRPr="005362E1" w:rsidTr="005362E1">
        <w:trPr>
          <w:trHeight w:val="227"/>
        </w:trPr>
        <w:tc>
          <w:tcPr>
            <w:tcW w:w="2160" w:type="dxa"/>
            <w:shd w:val="clear" w:color="000000" w:fill="DDD9C4"/>
            <w:noWrap/>
            <w:vAlign w:val="bottom"/>
            <w:hideMark/>
          </w:tcPr>
          <w:p w:rsidR="00990377" w:rsidRPr="005362E1" w:rsidRDefault="00990377" w:rsidP="00990377">
            <w:pPr>
              <w:spacing w:after="0" w:line="240" w:lineRule="auto"/>
              <w:rPr>
                <w:rFonts w:ascii="Arial" w:eastAsia="Times New Roman" w:hAnsi="Arial" w:cs="Arial"/>
                <w:color w:val="000000"/>
                <w:sz w:val="18"/>
                <w:szCs w:val="20"/>
                <w:lang w:eastAsia="nb-NO"/>
              </w:rPr>
            </w:pPr>
            <w:r w:rsidRPr="005362E1">
              <w:rPr>
                <w:rFonts w:ascii="Arial" w:eastAsia="Times New Roman" w:hAnsi="Arial" w:cs="Arial"/>
                <w:color w:val="000000"/>
                <w:sz w:val="18"/>
                <w:szCs w:val="20"/>
                <w:lang w:eastAsia="nb-NO"/>
              </w:rPr>
              <w:t>Regional attraktivitet</w:t>
            </w:r>
          </w:p>
        </w:tc>
        <w:tc>
          <w:tcPr>
            <w:tcW w:w="1108" w:type="dxa"/>
            <w:shd w:val="clear" w:color="auto" w:fill="auto"/>
            <w:noWrap/>
            <w:vAlign w:val="bottom"/>
            <w:hideMark/>
          </w:tcPr>
          <w:p w:rsidR="00990377" w:rsidRPr="005362E1" w:rsidRDefault="00990377" w:rsidP="00990377">
            <w:pPr>
              <w:spacing w:after="0"/>
              <w:jc w:val="right"/>
              <w:rPr>
                <w:rFonts w:ascii="Arial" w:hAnsi="Arial" w:cs="Arial"/>
                <w:color w:val="000000"/>
                <w:sz w:val="18"/>
                <w:szCs w:val="20"/>
              </w:rPr>
            </w:pPr>
            <w:r w:rsidRPr="005362E1">
              <w:rPr>
                <w:rFonts w:ascii="Arial" w:hAnsi="Arial" w:cs="Arial"/>
                <w:color w:val="000000"/>
                <w:sz w:val="18"/>
                <w:szCs w:val="20"/>
              </w:rPr>
              <w:t>-0,3</w:t>
            </w:r>
          </w:p>
        </w:tc>
        <w:tc>
          <w:tcPr>
            <w:tcW w:w="1008" w:type="dxa"/>
            <w:shd w:val="clear" w:color="auto" w:fill="auto"/>
            <w:noWrap/>
            <w:vAlign w:val="bottom"/>
            <w:hideMark/>
          </w:tcPr>
          <w:p w:rsidR="00990377" w:rsidRPr="005362E1" w:rsidRDefault="00990377" w:rsidP="00990377">
            <w:pPr>
              <w:spacing w:after="0" w:line="240" w:lineRule="auto"/>
              <w:jc w:val="right"/>
              <w:rPr>
                <w:rFonts w:ascii="Arial" w:eastAsia="Times New Roman" w:hAnsi="Arial" w:cs="Arial"/>
                <w:color w:val="000000"/>
                <w:sz w:val="18"/>
                <w:szCs w:val="20"/>
                <w:lang w:eastAsia="nb-NO"/>
              </w:rPr>
            </w:pPr>
            <w:r w:rsidRPr="005362E1">
              <w:rPr>
                <w:rFonts w:ascii="Arial" w:eastAsia="Times New Roman" w:hAnsi="Arial" w:cs="Arial"/>
                <w:color w:val="000000"/>
                <w:sz w:val="18"/>
                <w:szCs w:val="20"/>
                <w:lang w:eastAsia="nb-NO"/>
              </w:rPr>
              <w:t>3,7</w:t>
            </w:r>
          </w:p>
        </w:tc>
      </w:tr>
    </w:tbl>
    <w:p w:rsidR="00806D4D" w:rsidRDefault="00806D4D" w:rsidP="00960B8B"/>
    <w:p w:rsidR="002A2B21" w:rsidRDefault="006D23F9" w:rsidP="00960B8B">
      <w:proofErr w:type="spellStart"/>
      <w:r>
        <w:t>Glåmdal</w:t>
      </w:r>
      <w:proofErr w:type="spellEnd"/>
      <w:r>
        <w:t xml:space="preserve"> </w:t>
      </w:r>
      <w:r w:rsidR="002A2B21">
        <w:t xml:space="preserve">har hatt en positiv attraktivitet som </w:t>
      </w:r>
      <w:r>
        <w:t>bosted</w:t>
      </w:r>
      <w:r w:rsidR="002A2B21">
        <w:t>, og de</w:t>
      </w:r>
      <w:r w:rsidR="00D26089">
        <w:t>t</w:t>
      </w:r>
      <w:r w:rsidR="002A2B21">
        <w:t xml:space="preserve"> vil virke positivt. På den annen side har det vært en negativ attraktivitet for </w:t>
      </w:r>
      <w:r>
        <w:t>næringslivet, som virker negativt</w:t>
      </w:r>
      <w:r w:rsidR="002A2B21">
        <w:t>.</w:t>
      </w:r>
    </w:p>
    <w:p w:rsidR="002A2B21" w:rsidRDefault="002A2B21" w:rsidP="00960B8B">
      <w:r>
        <w:t xml:space="preserve">I figur </w:t>
      </w:r>
      <w:r w:rsidR="006D23F9">
        <w:t>59</w:t>
      </w:r>
      <w:r>
        <w:t xml:space="preserve"> ser vi at </w:t>
      </w:r>
      <w:proofErr w:type="spellStart"/>
      <w:r>
        <w:t>scenariet</w:t>
      </w:r>
      <w:proofErr w:type="spellEnd"/>
      <w:r>
        <w:t xml:space="preserve"> for befolkningsutvikling blir </w:t>
      </w:r>
      <w:r w:rsidR="006D23F9">
        <w:t xml:space="preserve">en del bedre enn </w:t>
      </w:r>
      <w:proofErr w:type="spellStart"/>
      <w:r w:rsidR="006D23F9">
        <w:t>normalscenariet</w:t>
      </w:r>
      <w:proofErr w:type="spellEnd"/>
      <w:r w:rsidR="006D23F9">
        <w:t xml:space="preserve">. Det er fordi den positive bostedsattraktiviteten virker sterkere på befolkningsutviklingen enn den svake næringsattraktiviteten. Med dette </w:t>
      </w:r>
      <w:proofErr w:type="spellStart"/>
      <w:r w:rsidR="006D23F9">
        <w:t>scenariet</w:t>
      </w:r>
      <w:proofErr w:type="spellEnd"/>
      <w:r w:rsidR="006D23F9">
        <w:t xml:space="preserve"> vil befolkningen være ganske stabil fram til 2030, for deretter å synke litt.</w:t>
      </w:r>
    </w:p>
    <w:p w:rsidR="002A2B21" w:rsidRDefault="002A2B21" w:rsidP="00960B8B">
      <w:r>
        <w:t xml:space="preserve">I figur </w:t>
      </w:r>
      <w:r w:rsidR="006D23F9">
        <w:t>60</w:t>
      </w:r>
      <w:r>
        <w:t xml:space="preserve"> ser vi hvordan arbeidsplassene vil utvikle seg dersom attraktiviteten til </w:t>
      </w:r>
      <w:proofErr w:type="spellStart"/>
      <w:r w:rsidR="006D23F9">
        <w:t>Glåmdal</w:t>
      </w:r>
      <w:proofErr w:type="spellEnd"/>
      <w:r w:rsidR="006D23F9">
        <w:t xml:space="preserve"> </w:t>
      </w:r>
      <w:r>
        <w:t xml:space="preserve">videreføres. Antall arbeidsplasser vil synke en raskere enn i </w:t>
      </w:r>
      <w:proofErr w:type="spellStart"/>
      <w:r>
        <w:t>normalscenariet</w:t>
      </w:r>
      <w:proofErr w:type="spellEnd"/>
      <w:r>
        <w:t>. Det betyr at det må bli enda mer nettopendling ut av regionen, eller at sysselsettingsandelen synker.</w:t>
      </w:r>
    </w:p>
    <w:p w:rsidR="002A2B21" w:rsidRDefault="002A2B21" w:rsidP="00960B8B"/>
    <w:p w:rsidR="00960B8B" w:rsidRDefault="00960B8B" w:rsidP="00960B8B">
      <w:r>
        <w:br w:type="column"/>
      </w:r>
    </w:p>
    <w:p w:rsidR="00960B8B" w:rsidRDefault="00990377" w:rsidP="00960B8B">
      <w:pPr>
        <w:keepNext/>
      </w:pPr>
      <w:r>
        <w:rPr>
          <w:noProof/>
          <w:lang w:eastAsia="nb-NO"/>
        </w:rPr>
        <w:drawing>
          <wp:inline distT="0" distB="0" distL="0" distR="0">
            <wp:extent cx="2869565" cy="2976505"/>
            <wp:effectExtent l="0" t="0" r="6985" b="0"/>
            <wp:docPr id="60" name="Diagram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60B8B" w:rsidRPr="00960B8B" w:rsidRDefault="00960B8B" w:rsidP="00960B8B">
      <w:pPr>
        <w:pStyle w:val="Bildetekst"/>
      </w:pPr>
      <w:r>
        <w:t xml:space="preserve">Figur </w:t>
      </w:r>
      <w:r w:rsidR="004B3D9E">
        <w:fldChar w:fldCharType="begin"/>
      </w:r>
      <w:r>
        <w:instrText xml:space="preserve"> SEQ Figur \* ARABIC </w:instrText>
      </w:r>
      <w:r w:rsidR="004B3D9E">
        <w:fldChar w:fldCharType="separate"/>
      </w:r>
      <w:r w:rsidR="00CD5BFF">
        <w:rPr>
          <w:noProof/>
        </w:rPr>
        <w:t>59</w:t>
      </w:r>
      <w:r w:rsidR="004B3D9E">
        <w:fldChar w:fldCharType="end"/>
      </w:r>
      <w:r>
        <w:t>:</w:t>
      </w:r>
      <w:r w:rsidR="00D946D7">
        <w:t xml:space="preserve"> Ulike </w:t>
      </w:r>
      <w:proofErr w:type="spellStart"/>
      <w:r w:rsidR="00D946D7">
        <w:t>scenarier</w:t>
      </w:r>
      <w:proofErr w:type="spellEnd"/>
      <w:r w:rsidR="00D946D7">
        <w:t xml:space="preserve"> for attraktivitet og </w:t>
      </w:r>
      <w:proofErr w:type="spellStart"/>
      <w:r w:rsidR="00D946D7">
        <w:t>SSBs</w:t>
      </w:r>
      <w:proofErr w:type="spellEnd"/>
      <w:r w:rsidR="00D946D7">
        <w:t xml:space="preserve"> middelframskriving for befolkning.</w:t>
      </w:r>
    </w:p>
    <w:p w:rsidR="00960B8B" w:rsidRDefault="00960B8B">
      <w:pPr>
        <w:spacing w:after="0" w:line="240" w:lineRule="auto"/>
      </w:pPr>
    </w:p>
    <w:p w:rsidR="00960B8B" w:rsidRDefault="00990377" w:rsidP="00960B8B">
      <w:pPr>
        <w:keepNext/>
        <w:spacing w:after="0" w:line="240" w:lineRule="auto"/>
      </w:pPr>
      <w:r>
        <w:rPr>
          <w:noProof/>
          <w:lang w:eastAsia="nb-NO"/>
        </w:rPr>
        <w:drawing>
          <wp:inline distT="0" distB="0" distL="0" distR="0">
            <wp:extent cx="2869565" cy="2600000"/>
            <wp:effectExtent l="0" t="0" r="6985" b="0"/>
            <wp:docPr id="76" name="Diagram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60B8B" w:rsidRDefault="00960B8B" w:rsidP="00960B8B">
      <w:pPr>
        <w:pStyle w:val="Bildetekst"/>
      </w:pPr>
      <w:r>
        <w:t xml:space="preserve">Figur </w:t>
      </w:r>
      <w:r w:rsidR="004B3D9E">
        <w:fldChar w:fldCharType="begin"/>
      </w:r>
      <w:r>
        <w:instrText xml:space="preserve"> SEQ Figur \* ARABIC </w:instrText>
      </w:r>
      <w:r w:rsidR="004B3D9E">
        <w:fldChar w:fldCharType="separate"/>
      </w:r>
      <w:r w:rsidR="00CD5BFF">
        <w:rPr>
          <w:noProof/>
        </w:rPr>
        <w:t>60</w:t>
      </w:r>
      <w:r w:rsidR="004B3D9E">
        <w:fldChar w:fldCharType="end"/>
      </w:r>
      <w:r>
        <w:t>:</w:t>
      </w:r>
      <w:r w:rsidR="00D946D7">
        <w:t xml:space="preserve"> Ulike </w:t>
      </w:r>
      <w:proofErr w:type="spellStart"/>
      <w:r w:rsidR="00D946D7">
        <w:t>scenarier</w:t>
      </w:r>
      <w:proofErr w:type="spellEnd"/>
      <w:r w:rsidR="00D946D7">
        <w:t xml:space="preserve"> for attraktivitet med hensyn til utvikling i samlet antall arbeidsplasser.</w:t>
      </w:r>
    </w:p>
    <w:p w:rsidR="00960B8B" w:rsidRDefault="00960B8B" w:rsidP="00960B8B"/>
    <w:p w:rsidR="00960B8B" w:rsidRDefault="00960B8B">
      <w:pPr>
        <w:spacing w:after="0" w:line="240" w:lineRule="auto"/>
      </w:pPr>
      <w:r>
        <w:br w:type="page"/>
      </w:r>
    </w:p>
    <w:p w:rsidR="00960B8B" w:rsidRDefault="00960B8B" w:rsidP="002A2B21">
      <w:pPr>
        <w:pStyle w:val="Overskrift2"/>
      </w:pPr>
      <w:r>
        <w:lastRenderedPageBreak/>
        <w:t xml:space="preserve">Scenario med </w:t>
      </w:r>
      <w:r w:rsidR="002A2B21">
        <w:t xml:space="preserve">befolknings- og </w:t>
      </w:r>
      <w:r>
        <w:t>arbeidsplassvekst</w:t>
      </w:r>
    </w:p>
    <w:p w:rsidR="00960B8B" w:rsidRDefault="002A2B21" w:rsidP="00960B8B">
      <w:r>
        <w:t xml:space="preserve">Hvor attraktiv må </w:t>
      </w:r>
      <w:proofErr w:type="spellStart"/>
      <w:r w:rsidR="006D23F9">
        <w:t>Glåmdal</w:t>
      </w:r>
      <w:proofErr w:type="spellEnd"/>
      <w:r w:rsidR="006D23F9">
        <w:t xml:space="preserve"> </w:t>
      </w:r>
      <w:r>
        <w:t>være, for å oppnå vekst i befolkning og arbeidsplasser?</w:t>
      </w:r>
    </w:p>
    <w:p w:rsidR="002A2B21" w:rsidRDefault="002A2B21" w:rsidP="00960B8B">
      <w:r>
        <w:t>I tabellen under har vi lagt inn noen verdier for framtidig attraktivitet som vil skape vekst i regionen.</w:t>
      </w:r>
    </w:p>
    <w:p w:rsidR="00D946D7" w:rsidRDefault="00D946D7" w:rsidP="00D946D7">
      <w:pPr>
        <w:pStyle w:val="Bildetekst"/>
        <w:keepNext/>
      </w:pPr>
      <w:r>
        <w:t xml:space="preserve">Tabell </w:t>
      </w:r>
      <w:r w:rsidR="004B3D9E">
        <w:fldChar w:fldCharType="begin"/>
      </w:r>
      <w:r>
        <w:instrText xml:space="preserve"> SEQ Tabell \* ARABIC </w:instrText>
      </w:r>
      <w:r w:rsidR="004B3D9E">
        <w:fldChar w:fldCharType="separate"/>
      </w:r>
      <w:r w:rsidR="00CD5BFF">
        <w:rPr>
          <w:noProof/>
        </w:rPr>
        <w:t>8</w:t>
      </w:r>
      <w:r w:rsidR="004B3D9E">
        <w:fldChar w:fldCharType="end"/>
      </w:r>
      <w:r>
        <w:t xml:space="preserve">: Verdier for attraktivitet i et </w:t>
      </w:r>
      <w:r w:rsidR="006D23F9">
        <w:t>høyvekst</w:t>
      </w:r>
      <w:r>
        <w:t>scenario historisk attraktivitet og standardavviket for regional attraktivitet.</w:t>
      </w:r>
    </w:p>
    <w:tbl>
      <w:tblPr>
        <w:tblW w:w="45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tblPr>
      <w:tblGrid>
        <w:gridCol w:w="1871"/>
        <w:gridCol w:w="891"/>
        <w:gridCol w:w="931"/>
        <w:gridCol w:w="871"/>
      </w:tblGrid>
      <w:tr w:rsidR="002A2B21" w:rsidRPr="005362E1" w:rsidTr="005362E1">
        <w:trPr>
          <w:trHeight w:val="227"/>
        </w:trPr>
        <w:tc>
          <w:tcPr>
            <w:tcW w:w="1871" w:type="dxa"/>
            <w:shd w:val="clear" w:color="auto" w:fill="auto"/>
            <w:noWrap/>
            <w:vAlign w:val="bottom"/>
            <w:hideMark/>
          </w:tcPr>
          <w:p w:rsidR="002A2B21" w:rsidRPr="005362E1" w:rsidRDefault="002A2B21" w:rsidP="002A2B21">
            <w:pPr>
              <w:spacing w:after="0" w:line="240" w:lineRule="auto"/>
              <w:rPr>
                <w:rFonts w:ascii="Arial" w:eastAsia="Times New Roman" w:hAnsi="Arial" w:cs="Arial"/>
                <w:color w:val="000000"/>
                <w:sz w:val="18"/>
                <w:szCs w:val="18"/>
                <w:lang w:eastAsia="nb-NO"/>
              </w:rPr>
            </w:pPr>
            <w:r w:rsidRPr="005362E1">
              <w:rPr>
                <w:rFonts w:ascii="Arial" w:eastAsia="Times New Roman" w:hAnsi="Arial" w:cs="Arial"/>
                <w:color w:val="000000"/>
                <w:sz w:val="18"/>
                <w:szCs w:val="18"/>
                <w:lang w:eastAsia="nb-NO"/>
              </w:rPr>
              <w:t> </w:t>
            </w:r>
          </w:p>
        </w:tc>
        <w:tc>
          <w:tcPr>
            <w:tcW w:w="861" w:type="dxa"/>
            <w:shd w:val="clear" w:color="auto" w:fill="auto"/>
            <w:noWrap/>
            <w:vAlign w:val="bottom"/>
            <w:hideMark/>
          </w:tcPr>
          <w:p w:rsidR="002A2B21" w:rsidRPr="005362E1" w:rsidRDefault="006D23F9" w:rsidP="002A2B21">
            <w:pPr>
              <w:spacing w:after="0" w:line="240" w:lineRule="auto"/>
              <w:rPr>
                <w:rFonts w:ascii="Arial" w:eastAsia="Times New Roman" w:hAnsi="Arial" w:cs="Arial"/>
                <w:bCs/>
                <w:color w:val="000000"/>
                <w:sz w:val="18"/>
                <w:szCs w:val="18"/>
                <w:lang w:eastAsia="nb-NO"/>
              </w:rPr>
            </w:pPr>
            <w:r w:rsidRPr="005362E1">
              <w:rPr>
                <w:rFonts w:ascii="Arial" w:eastAsia="Times New Roman" w:hAnsi="Arial" w:cs="Arial"/>
                <w:bCs/>
                <w:color w:val="000000"/>
                <w:sz w:val="18"/>
                <w:szCs w:val="18"/>
                <w:lang w:eastAsia="nb-NO"/>
              </w:rPr>
              <w:t>Høyvekst</w:t>
            </w:r>
          </w:p>
        </w:tc>
        <w:tc>
          <w:tcPr>
            <w:tcW w:w="931" w:type="dxa"/>
            <w:shd w:val="clear" w:color="auto" w:fill="auto"/>
            <w:noWrap/>
            <w:vAlign w:val="bottom"/>
            <w:hideMark/>
          </w:tcPr>
          <w:p w:rsidR="002A2B21" w:rsidRPr="005362E1" w:rsidRDefault="002A2B21" w:rsidP="002A2B21">
            <w:pPr>
              <w:spacing w:after="0" w:line="240" w:lineRule="auto"/>
              <w:rPr>
                <w:rFonts w:ascii="Arial" w:eastAsia="Times New Roman" w:hAnsi="Arial" w:cs="Arial"/>
                <w:bCs/>
                <w:color w:val="000000"/>
                <w:sz w:val="18"/>
                <w:szCs w:val="18"/>
                <w:lang w:eastAsia="nb-NO"/>
              </w:rPr>
            </w:pPr>
            <w:r w:rsidRPr="005362E1">
              <w:rPr>
                <w:rFonts w:ascii="Arial" w:eastAsia="Times New Roman" w:hAnsi="Arial" w:cs="Arial"/>
                <w:bCs/>
                <w:color w:val="000000"/>
                <w:sz w:val="18"/>
                <w:szCs w:val="18"/>
                <w:lang w:eastAsia="nb-NO"/>
              </w:rPr>
              <w:t>Historisk</w:t>
            </w:r>
          </w:p>
        </w:tc>
        <w:tc>
          <w:tcPr>
            <w:tcW w:w="871" w:type="dxa"/>
            <w:shd w:val="clear" w:color="auto" w:fill="auto"/>
            <w:noWrap/>
            <w:vAlign w:val="bottom"/>
            <w:hideMark/>
          </w:tcPr>
          <w:p w:rsidR="002A2B21" w:rsidRPr="005362E1" w:rsidRDefault="002A2B21" w:rsidP="002A2B21">
            <w:pPr>
              <w:spacing w:after="0" w:line="240" w:lineRule="auto"/>
              <w:rPr>
                <w:rFonts w:ascii="Arial" w:eastAsia="Times New Roman" w:hAnsi="Arial" w:cs="Arial"/>
                <w:bCs/>
                <w:color w:val="000000"/>
                <w:sz w:val="18"/>
                <w:szCs w:val="18"/>
                <w:lang w:eastAsia="nb-NO"/>
              </w:rPr>
            </w:pPr>
            <w:r w:rsidRPr="005362E1">
              <w:rPr>
                <w:rFonts w:ascii="Arial" w:eastAsia="Times New Roman" w:hAnsi="Arial" w:cs="Arial"/>
                <w:bCs/>
                <w:color w:val="000000"/>
                <w:sz w:val="18"/>
                <w:szCs w:val="18"/>
                <w:lang w:eastAsia="nb-NO"/>
              </w:rPr>
              <w:t>St avvik</w:t>
            </w:r>
          </w:p>
        </w:tc>
      </w:tr>
      <w:tr w:rsidR="00913C8A" w:rsidRPr="005362E1" w:rsidTr="005362E1">
        <w:trPr>
          <w:trHeight w:val="227"/>
        </w:trPr>
        <w:tc>
          <w:tcPr>
            <w:tcW w:w="1871" w:type="dxa"/>
            <w:shd w:val="clear" w:color="000000" w:fill="DDD9C4"/>
            <w:noWrap/>
            <w:vAlign w:val="bottom"/>
            <w:hideMark/>
          </w:tcPr>
          <w:p w:rsidR="00913C8A" w:rsidRPr="005362E1" w:rsidRDefault="00913C8A" w:rsidP="00913C8A">
            <w:pPr>
              <w:spacing w:after="0" w:line="240" w:lineRule="auto"/>
              <w:rPr>
                <w:rFonts w:ascii="Arial" w:eastAsia="Times New Roman" w:hAnsi="Arial" w:cs="Arial"/>
                <w:color w:val="000000"/>
                <w:sz w:val="18"/>
                <w:szCs w:val="18"/>
                <w:lang w:eastAsia="nb-NO"/>
              </w:rPr>
            </w:pPr>
            <w:r w:rsidRPr="005362E1">
              <w:rPr>
                <w:rFonts w:ascii="Arial" w:eastAsia="Times New Roman" w:hAnsi="Arial" w:cs="Arial"/>
                <w:color w:val="000000"/>
                <w:sz w:val="18"/>
                <w:szCs w:val="18"/>
                <w:lang w:eastAsia="nb-NO"/>
              </w:rPr>
              <w:t>Bostedsattraktivitet</w:t>
            </w:r>
          </w:p>
        </w:tc>
        <w:tc>
          <w:tcPr>
            <w:tcW w:w="861" w:type="dxa"/>
            <w:shd w:val="clear" w:color="000000" w:fill="F58930"/>
            <w:noWrap/>
            <w:vAlign w:val="bottom"/>
            <w:hideMark/>
          </w:tcPr>
          <w:p w:rsidR="00913C8A" w:rsidRPr="005362E1" w:rsidRDefault="00913C8A" w:rsidP="00913C8A">
            <w:pPr>
              <w:spacing w:after="0" w:line="240" w:lineRule="auto"/>
              <w:jc w:val="right"/>
              <w:rPr>
                <w:rFonts w:ascii="Arial" w:eastAsia="Times New Roman" w:hAnsi="Arial" w:cs="Arial"/>
                <w:color w:val="000000"/>
                <w:sz w:val="18"/>
                <w:szCs w:val="18"/>
              </w:rPr>
            </w:pPr>
            <w:r w:rsidRPr="005362E1">
              <w:rPr>
                <w:rFonts w:ascii="Arial" w:hAnsi="Arial" w:cs="Arial"/>
                <w:color w:val="000000"/>
                <w:sz w:val="18"/>
                <w:szCs w:val="18"/>
              </w:rPr>
              <w:t>0,4</w:t>
            </w:r>
          </w:p>
        </w:tc>
        <w:tc>
          <w:tcPr>
            <w:tcW w:w="931" w:type="dxa"/>
            <w:shd w:val="clear" w:color="auto" w:fill="D0DEB8" w:themeFill="accent2" w:themeFillTint="99"/>
            <w:noWrap/>
            <w:vAlign w:val="bottom"/>
            <w:hideMark/>
          </w:tcPr>
          <w:p w:rsidR="00913C8A" w:rsidRPr="005362E1" w:rsidRDefault="00913C8A" w:rsidP="00913C8A">
            <w:pPr>
              <w:spacing w:after="0"/>
              <w:jc w:val="right"/>
              <w:rPr>
                <w:rFonts w:ascii="Arial" w:hAnsi="Arial" w:cs="Arial"/>
                <w:color w:val="000000"/>
                <w:sz w:val="18"/>
                <w:szCs w:val="18"/>
              </w:rPr>
            </w:pPr>
            <w:r w:rsidRPr="005362E1">
              <w:rPr>
                <w:rFonts w:ascii="Arial" w:hAnsi="Arial" w:cs="Arial"/>
                <w:color w:val="000000"/>
                <w:sz w:val="18"/>
                <w:szCs w:val="18"/>
              </w:rPr>
              <w:t>0,3</w:t>
            </w:r>
          </w:p>
        </w:tc>
        <w:tc>
          <w:tcPr>
            <w:tcW w:w="871" w:type="dxa"/>
            <w:shd w:val="clear" w:color="auto" w:fill="auto"/>
            <w:noWrap/>
            <w:vAlign w:val="bottom"/>
            <w:hideMark/>
          </w:tcPr>
          <w:p w:rsidR="00913C8A" w:rsidRPr="005362E1" w:rsidRDefault="00913C8A" w:rsidP="00913C8A">
            <w:pPr>
              <w:spacing w:after="0" w:line="240" w:lineRule="auto"/>
              <w:jc w:val="right"/>
              <w:rPr>
                <w:rFonts w:ascii="Arial" w:eastAsia="Times New Roman" w:hAnsi="Arial" w:cs="Arial"/>
                <w:color w:val="000000"/>
                <w:sz w:val="18"/>
                <w:szCs w:val="18"/>
                <w:lang w:eastAsia="nb-NO"/>
              </w:rPr>
            </w:pPr>
            <w:r w:rsidRPr="005362E1">
              <w:rPr>
                <w:rFonts w:ascii="Arial" w:eastAsia="Times New Roman" w:hAnsi="Arial" w:cs="Arial"/>
                <w:color w:val="000000"/>
                <w:sz w:val="18"/>
                <w:szCs w:val="18"/>
                <w:lang w:eastAsia="nb-NO"/>
              </w:rPr>
              <w:t>0,4</w:t>
            </w:r>
          </w:p>
        </w:tc>
      </w:tr>
      <w:tr w:rsidR="00913C8A" w:rsidRPr="005362E1" w:rsidTr="005362E1">
        <w:trPr>
          <w:trHeight w:val="227"/>
        </w:trPr>
        <w:tc>
          <w:tcPr>
            <w:tcW w:w="1871" w:type="dxa"/>
            <w:shd w:val="clear" w:color="000000" w:fill="DDD9C4"/>
            <w:noWrap/>
            <w:vAlign w:val="bottom"/>
            <w:hideMark/>
          </w:tcPr>
          <w:p w:rsidR="00913C8A" w:rsidRPr="005362E1" w:rsidRDefault="00913C8A" w:rsidP="00913C8A">
            <w:pPr>
              <w:spacing w:after="0" w:line="240" w:lineRule="auto"/>
              <w:rPr>
                <w:rFonts w:ascii="Arial" w:eastAsia="Times New Roman" w:hAnsi="Arial" w:cs="Arial"/>
                <w:color w:val="000000"/>
                <w:sz w:val="18"/>
                <w:szCs w:val="18"/>
                <w:lang w:eastAsia="nb-NO"/>
              </w:rPr>
            </w:pPr>
            <w:r w:rsidRPr="005362E1">
              <w:rPr>
                <w:rFonts w:ascii="Arial" w:eastAsia="Times New Roman" w:hAnsi="Arial" w:cs="Arial"/>
                <w:color w:val="000000"/>
                <w:sz w:val="18"/>
                <w:szCs w:val="18"/>
                <w:lang w:eastAsia="nb-NO"/>
              </w:rPr>
              <w:t>Basis attraktivitet</w:t>
            </w:r>
          </w:p>
        </w:tc>
        <w:tc>
          <w:tcPr>
            <w:tcW w:w="861" w:type="dxa"/>
            <w:shd w:val="clear" w:color="000000" w:fill="F58930"/>
            <w:noWrap/>
            <w:vAlign w:val="bottom"/>
            <w:hideMark/>
          </w:tcPr>
          <w:p w:rsidR="00913C8A" w:rsidRPr="005362E1" w:rsidRDefault="00913C8A" w:rsidP="00913C8A">
            <w:pPr>
              <w:spacing w:after="0"/>
              <w:jc w:val="right"/>
              <w:rPr>
                <w:rFonts w:ascii="Arial" w:hAnsi="Arial" w:cs="Arial"/>
                <w:color w:val="000000"/>
                <w:sz w:val="18"/>
                <w:szCs w:val="18"/>
              </w:rPr>
            </w:pPr>
            <w:r w:rsidRPr="005362E1">
              <w:rPr>
                <w:rFonts w:ascii="Arial" w:hAnsi="Arial" w:cs="Arial"/>
                <w:color w:val="000000"/>
                <w:sz w:val="18"/>
                <w:szCs w:val="18"/>
              </w:rPr>
              <w:t>1,0</w:t>
            </w:r>
          </w:p>
        </w:tc>
        <w:tc>
          <w:tcPr>
            <w:tcW w:w="931" w:type="dxa"/>
            <w:shd w:val="clear" w:color="auto" w:fill="D0DEB8" w:themeFill="accent2" w:themeFillTint="99"/>
            <w:noWrap/>
            <w:vAlign w:val="bottom"/>
            <w:hideMark/>
          </w:tcPr>
          <w:p w:rsidR="00913C8A" w:rsidRPr="005362E1" w:rsidRDefault="00913C8A" w:rsidP="00913C8A">
            <w:pPr>
              <w:spacing w:after="0"/>
              <w:jc w:val="right"/>
              <w:rPr>
                <w:rFonts w:ascii="Arial" w:hAnsi="Arial" w:cs="Arial"/>
                <w:color w:val="000000"/>
                <w:sz w:val="18"/>
                <w:szCs w:val="18"/>
              </w:rPr>
            </w:pPr>
            <w:r w:rsidRPr="005362E1">
              <w:rPr>
                <w:rFonts w:ascii="Arial" w:hAnsi="Arial" w:cs="Arial"/>
                <w:color w:val="000000"/>
                <w:sz w:val="18"/>
                <w:szCs w:val="18"/>
              </w:rPr>
              <w:t>-1,1</w:t>
            </w:r>
          </w:p>
        </w:tc>
        <w:tc>
          <w:tcPr>
            <w:tcW w:w="871" w:type="dxa"/>
            <w:shd w:val="clear" w:color="auto" w:fill="auto"/>
            <w:noWrap/>
            <w:vAlign w:val="bottom"/>
            <w:hideMark/>
          </w:tcPr>
          <w:p w:rsidR="00913C8A" w:rsidRPr="005362E1" w:rsidRDefault="00913C8A" w:rsidP="00913C8A">
            <w:pPr>
              <w:spacing w:after="0" w:line="240" w:lineRule="auto"/>
              <w:jc w:val="right"/>
              <w:rPr>
                <w:rFonts w:ascii="Arial" w:eastAsia="Times New Roman" w:hAnsi="Arial" w:cs="Arial"/>
                <w:color w:val="000000"/>
                <w:sz w:val="18"/>
                <w:szCs w:val="18"/>
                <w:lang w:eastAsia="nb-NO"/>
              </w:rPr>
            </w:pPr>
            <w:r w:rsidRPr="005362E1">
              <w:rPr>
                <w:rFonts w:ascii="Arial" w:eastAsia="Times New Roman" w:hAnsi="Arial" w:cs="Arial"/>
                <w:color w:val="000000"/>
                <w:sz w:val="18"/>
                <w:szCs w:val="18"/>
                <w:lang w:eastAsia="nb-NO"/>
              </w:rPr>
              <w:t>3,7</w:t>
            </w:r>
          </w:p>
        </w:tc>
      </w:tr>
      <w:tr w:rsidR="00913C8A" w:rsidRPr="005362E1" w:rsidTr="005362E1">
        <w:trPr>
          <w:trHeight w:val="227"/>
        </w:trPr>
        <w:tc>
          <w:tcPr>
            <w:tcW w:w="1871" w:type="dxa"/>
            <w:shd w:val="clear" w:color="000000" w:fill="DDD9C4"/>
            <w:noWrap/>
            <w:vAlign w:val="bottom"/>
            <w:hideMark/>
          </w:tcPr>
          <w:p w:rsidR="00913C8A" w:rsidRPr="005362E1" w:rsidRDefault="00913C8A" w:rsidP="00913C8A">
            <w:pPr>
              <w:spacing w:after="0" w:line="240" w:lineRule="auto"/>
              <w:rPr>
                <w:rFonts w:ascii="Arial" w:eastAsia="Times New Roman" w:hAnsi="Arial" w:cs="Arial"/>
                <w:color w:val="000000"/>
                <w:sz w:val="18"/>
                <w:szCs w:val="18"/>
                <w:lang w:eastAsia="nb-NO"/>
              </w:rPr>
            </w:pPr>
            <w:r w:rsidRPr="005362E1">
              <w:rPr>
                <w:rFonts w:ascii="Arial" w:eastAsia="Times New Roman" w:hAnsi="Arial" w:cs="Arial"/>
                <w:color w:val="000000"/>
                <w:sz w:val="18"/>
                <w:szCs w:val="18"/>
                <w:lang w:eastAsia="nb-NO"/>
              </w:rPr>
              <w:t>Besøk attraktivitet</w:t>
            </w:r>
          </w:p>
        </w:tc>
        <w:tc>
          <w:tcPr>
            <w:tcW w:w="861" w:type="dxa"/>
            <w:shd w:val="clear" w:color="000000" w:fill="F58930"/>
            <w:noWrap/>
            <w:vAlign w:val="bottom"/>
            <w:hideMark/>
          </w:tcPr>
          <w:p w:rsidR="00913C8A" w:rsidRPr="005362E1" w:rsidRDefault="00913C8A" w:rsidP="00913C8A">
            <w:pPr>
              <w:spacing w:after="0"/>
              <w:jc w:val="right"/>
              <w:rPr>
                <w:rFonts w:ascii="Arial" w:hAnsi="Arial" w:cs="Arial"/>
                <w:color w:val="000000"/>
                <w:sz w:val="18"/>
                <w:szCs w:val="18"/>
              </w:rPr>
            </w:pPr>
            <w:r w:rsidRPr="005362E1">
              <w:rPr>
                <w:rFonts w:ascii="Arial" w:hAnsi="Arial" w:cs="Arial"/>
                <w:color w:val="000000"/>
                <w:sz w:val="18"/>
                <w:szCs w:val="18"/>
              </w:rPr>
              <w:t>1,0</w:t>
            </w:r>
          </w:p>
        </w:tc>
        <w:tc>
          <w:tcPr>
            <w:tcW w:w="931" w:type="dxa"/>
            <w:shd w:val="clear" w:color="auto" w:fill="D0DEB8" w:themeFill="accent2" w:themeFillTint="99"/>
            <w:noWrap/>
            <w:vAlign w:val="bottom"/>
            <w:hideMark/>
          </w:tcPr>
          <w:p w:rsidR="00913C8A" w:rsidRPr="005362E1" w:rsidRDefault="00913C8A" w:rsidP="00913C8A">
            <w:pPr>
              <w:spacing w:after="0"/>
              <w:jc w:val="right"/>
              <w:rPr>
                <w:rFonts w:ascii="Arial" w:hAnsi="Arial" w:cs="Arial"/>
                <w:color w:val="000000"/>
                <w:sz w:val="18"/>
                <w:szCs w:val="18"/>
              </w:rPr>
            </w:pPr>
            <w:r w:rsidRPr="005362E1">
              <w:rPr>
                <w:rFonts w:ascii="Arial" w:hAnsi="Arial" w:cs="Arial"/>
                <w:color w:val="000000"/>
                <w:sz w:val="18"/>
                <w:szCs w:val="18"/>
              </w:rPr>
              <w:t>-0,3</w:t>
            </w:r>
          </w:p>
        </w:tc>
        <w:tc>
          <w:tcPr>
            <w:tcW w:w="871" w:type="dxa"/>
            <w:shd w:val="clear" w:color="auto" w:fill="auto"/>
            <w:noWrap/>
            <w:vAlign w:val="bottom"/>
            <w:hideMark/>
          </w:tcPr>
          <w:p w:rsidR="00913C8A" w:rsidRPr="005362E1" w:rsidRDefault="00913C8A" w:rsidP="00913C8A">
            <w:pPr>
              <w:spacing w:after="0" w:line="240" w:lineRule="auto"/>
              <w:jc w:val="right"/>
              <w:rPr>
                <w:rFonts w:ascii="Arial" w:eastAsia="Times New Roman" w:hAnsi="Arial" w:cs="Arial"/>
                <w:color w:val="000000"/>
                <w:sz w:val="18"/>
                <w:szCs w:val="18"/>
                <w:lang w:eastAsia="nb-NO"/>
              </w:rPr>
            </w:pPr>
            <w:r w:rsidRPr="005362E1">
              <w:rPr>
                <w:rFonts w:ascii="Arial" w:eastAsia="Times New Roman" w:hAnsi="Arial" w:cs="Arial"/>
                <w:color w:val="000000"/>
                <w:sz w:val="18"/>
                <w:szCs w:val="18"/>
                <w:lang w:eastAsia="nb-NO"/>
              </w:rPr>
              <w:t>3,0</w:t>
            </w:r>
          </w:p>
        </w:tc>
      </w:tr>
      <w:tr w:rsidR="00913C8A" w:rsidRPr="005362E1" w:rsidTr="005362E1">
        <w:trPr>
          <w:trHeight w:val="227"/>
        </w:trPr>
        <w:tc>
          <w:tcPr>
            <w:tcW w:w="1871" w:type="dxa"/>
            <w:shd w:val="clear" w:color="000000" w:fill="DDD9C4"/>
            <w:noWrap/>
            <w:vAlign w:val="bottom"/>
            <w:hideMark/>
          </w:tcPr>
          <w:p w:rsidR="00913C8A" w:rsidRPr="005362E1" w:rsidRDefault="00913C8A" w:rsidP="00913C8A">
            <w:pPr>
              <w:spacing w:after="0" w:line="240" w:lineRule="auto"/>
              <w:rPr>
                <w:rFonts w:ascii="Arial" w:eastAsia="Times New Roman" w:hAnsi="Arial" w:cs="Arial"/>
                <w:color w:val="000000"/>
                <w:sz w:val="18"/>
                <w:szCs w:val="18"/>
                <w:lang w:eastAsia="nb-NO"/>
              </w:rPr>
            </w:pPr>
            <w:r w:rsidRPr="005362E1">
              <w:rPr>
                <w:rFonts w:ascii="Arial" w:eastAsia="Times New Roman" w:hAnsi="Arial" w:cs="Arial"/>
                <w:color w:val="000000"/>
                <w:sz w:val="18"/>
                <w:szCs w:val="18"/>
                <w:lang w:eastAsia="nb-NO"/>
              </w:rPr>
              <w:t>Regional attraktivitet</w:t>
            </w:r>
          </w:p>
        </w:tc>
        <w:tc>
          <w:tcPr>
            <w:tcW w:w="861" w:type="dxa"/>
            <w:shd w:val="clear" w:color="000000" w:fill="F58930"/>
            <w:noWrap/>
            <w:vAlign w:val="bottom"/>
            <w:hideMark/>
          </w:tcPr>
          <w:p w:rsidR="00913C8A" w:rsidRPr="005362E1" w:rsidRDefault="00913C8A" w:rsidP="00913C8A">
            <w:pPr>
              <w:spacing w:after="0"/>
              <w:jc w:val="right"/>
              <w:rPr>
                <w:rFonts w:ascii="Arial" w:hAnsi="Arial" w:cs="Arial"/>
                <w:color w:val="000000"/>
                <w:sz w:val="18"/>
                <w:szCs w:val="18"/>
              </w:rPr>
            </w:pPr>
            <w:r w:rsidRPr="005362E1">
              <w:rPr>
                <w:rFonts w:ascii="Arial" w:hAnsi="Arial" w:cs="Arial"/>
                <w:color w:val="000000"/>
                <w:sz w:val="18"/>
                <w:szCs w:val="18"/>
              </w:rPr>
              <w:t>1,0</w:t>
            </w:r>
          </w:p>
        </w:tc>
        <w:tc>
          <w:tcPr>
            <w:tcW w:w="931" w:type="dxa"/>
            <w:shd w:val="clear" w:color="auto" w:fill="D0DEB8" w:themeFill="accent2" w:themeFillTint="99"/>
            <w:noWrap/>
            <w:vAlign w:val="bottom"/>
            <w:hideMark/>
          </w:tcPr>
          <w:p w:rsidR="00913C8A" w:rsidRPr="005362E1" w:rsidRDefault="00913C8A" w:rsidP="00913C8A">
            <w:pPr>
              <w:spacing w:after="0"/>
              <w:jc w:val="right"/>
              <w:rPr>
                <w:rFonts w:ascii="Arial" w:hAnsi="Arial" w:cs="Arial"/>
                <w:color w:val="000000"/>
                <w:sz w:val="18"/>
                <w:szCs w:val="18"/>
              </w:rPr>
            </w:pPr>
            <w:r w:rsidRPr="005362E1">
              <w:rPr>
                <w:rFonts w:ascii="Arial" w:hAnsi="Arial" w:cs="Arial"/>
                <w:color w:val="000000"/>
                <w:sz w:val="18"/>
                <w:szCs w:val="18"/>
              </w:rPr>
              <w:t>-0,3</w:t>
            </w:r>
          </w:p>
        </w:tc>
        <w:tc>
          <w:tcPr>
            <w:tcW w:w="871" w:type="dxa"/>
            <w:shd w:val="clear" w:color="auto" w:fill="auto"/>
            <w:noWrap/>
            <w:vAlign w:val="bottom"/>
            <w:hideMark/>
          </w:tcPr>
          <w:p w:rsidR="00913C8A" w:rsidRPr="005362E1" w:rsidRDefault="00913C8A" w:rsidP="00913C8A">
            <w:pPr>
              <w:spacing w:after="0" w:line="240" w:lineRule="auto"/>
              <w:jc w:val="right"/>
              <w:rPr>
                <w:rFonts w:ascii="Arial" w:eastAsia="Times New Roman" w:hAnsi="Arial" w:cs="Arial"/>
                <w:color w:val="000000"/>
                <w:sz w:val="18"/>
                <w:szCs w:val="18"/>
                <w:lang w:eastAsia="nb-NO"/>
              </w:rPr>
            </w:pPr>
            <w:r w:rsidRPr="005362E1">
              <w:rPr>
                <w:rFonts w:ascii="Arial" w:eastAsia="Times New Roman" w:hAnsi="Arial" w:cs="Arial"/>
                <w:color w:val="000000"/>
                <w:sz w:val="18"/>
                <w:szCs w:val="18"/>
                <w:lang w:eastAsia="nb-NO"/>
              </w:rPr>
              <w:t>3,7</w:t>
            </w:r>
          </w:p>
        </w:tc>
      </w:tr>
    </w:tbl>
    <w:p w:rsidR="002A2B21" w:rsidRDefault="002A2B21" w:rsidP="00960B8B"/>
    <w:p w:rsidR="00D946D7" w:rsidRDefault="00D946D7" w:rsidP="00960B8B">
      <w:r>
        <w:t xml:space="preserve">I dette </w:t>
      </w:r>
      <w:proofErr w:type="spellStart"/>
      <w:r>
        <w:t>scenariet</w:t>
      </w:r>
      <w:proofErr w:type="spellEnd"/>
      <w:r>
        <w:t xml:space="preserve"> har vi lagt inn at bosteds</w:t>
      </w:r>
      <w:r w:rsidR="006D23F9">
        <w:softHyphen/>
      </w:r>
      <w:r>
        <w:t xml:space="preserve">attraktiviteten til </w:t>
      </w:r>
      <w:proofErr w:type="spellStart"/>
      <w:r w:rsidR="006D23F9">
        <w:t>Glåmdal</w:t>
      </w:r>
      <w:proofErr w:type="spellEnd"/>
      <w:r w:rsidR="006D23F9">
        <w:t xml:space="preserve"> </w:t>
      </w:r>
      <w:r>
        <w:t xml:space="preserve">skal </w:t>
      </w:r>
      <w:r w:rsidR="006D23F9">
        <w:t>bli litt sterkere enn før.</w:t>
      </w:r>
      <w:r>
        <w:t xml:space="preserve"> </w:t>
      </w:r>
      <w:r w:rsidR="00D26089">
        <w:t>Deretter</w:t>
      </w:r>
      <w:r>
        <w:t xml:space="preserve"> har vi lagt inn attraktivitetsverdier for de tre næringstypene på 1,0. Det betyr at en greier å stimulere næringsutviklingen slik at den vokser med en prosent årlig mer enn de strukturelle forholdene tilsier. Standardavviket for de fire attraktivitets</w:t>
      </w:r>
      <w:r>
        <w:softHyphen/>
        <w:t>dimensjonene ligger på mellom 3 og 4. Omtrent 15 prosent av regionene oppnår hvert år en attraktivitet som er høyere enn standardavviket. Forutsetningene om næringsattraktiviteten som er lagt inn er derfor ikke urealistisk høye.</w:t>
      </w:r>
    </w:p>
    <w:p w:rsidR="00D946D7" w:rsidRDefault="00D946D7" w:rsidP="00960B8B">
      <w:r>
        <w:t xml:space="preserve">I et slikt scenario </w:t>
      </w:r>
      <w:r w:rsidR="006D23F9">
        <w:t xml:space="preserve">vil befolkningen i </w:t>
      </w:r>
      <w:proofErr w:type="spellStart"/>
      <w:r w:rsidR="006D23F9">
        <w:t>Glåmdal</w:t>
      </w:r>
      <w:proofErr w:type="spellEnd"/>
      <w:r w:rsidR="006D23F9">
        <w:t xml:space="preserve"> vokse fram til 56 566 i 2030. Det er noe raskere enn i </w:t>
      </w:r>
      <w:proofErr w:type="spellStart"/>
      <w:r w:rsidR="006D23F9">
        <w:t>SSBs</w:t>
      </w:r>
      <w:proofErr w:type="spellEnd"/>
      <w:r w:rsidR="006D23F9">
        <w:t xml:space="preserve"> middelframskriving. Antall arbeidsplasser vil også øke, til 22 650 i 2040.</w:t>
      </w:r>
    </w:p>
    <w:p w:rsidR="006D23F9" w:rsidRDefault="006D23F9" w:rsidP="00960B8B"/>
    <w:p w:rsidR="00D946D7" w:rsidRDefault="00D946D7" w:rsidP="00960B8B"/>
    <w:p w:rsidR="00960B8B" w:rsidRDefault="00960B8B" w:rsidP="00960B8B">
      <w:r>
        <w:br w:type="column"/>
      </w:r>
    </w:p>
    <w:p w:rsidR="00960B8B" w:rsidRDefault="00913C8A" w:rsidP="00960B8B">
      <w:pPr>
        <w:keepNext/>
      </w:pPr>
      <w:r>
        <w:rPr>
          <w:noProof/>
          <w:lang w:eastAsia="nb-NO"/>
        </w:rPr>
        <w:drawing>
          <wp:inline distT="0" distB="0" distL="0" distR="0">
            <wp:extent cx="3067050" cy="3181350"/>
            <wp:effectExtent l="0" t="0" r="0" b="0"/>
            <wp:docPr id="53" name="Diagram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60B8B" w:rsidRPr="00960B8B" w:rsidRDefault="00960B8B" w:rsidP="00960B8B">
      <w:pPr>
        <w:pStyle w:val="Bildetekst"/>
      </w:pPr>
      <w:r>
        <w:t xml:space="preserve">Figur </w:t>
      </w:r>
      <w:r w:rsidR="004B3D9E">
        <w:fldChar w:fldCharType="begin"/>
      </w:r>
      <w:r>
        <w:instrText xml:space="preserve"> SEQ Figur \* ARABIC </w:instrText>
      </w:r>
      <w:r w:rsidR="004B3D9E">
        <w:fldChar w:fldCharType="separate"/>
      </w:r>
      <w:r w:rsidR="00CD5BFF">
        <w:rPr>
          <w:noProof/>
        </w:rPr>
        <w:t>61</w:t>
      </w:r>
      <w:r w:rsidR="004B3D9E">
        <w:fldChar w:fldCharType="end"/>
      </w:r>
      <w:r>
        <w:t>:</w:t>
      </w:r>
      <w:r w:rsidR="00D946D7">
        <w:t xml:space="preserve"> Befolkningsutvikling i ulike </w:t>
      </w:r>
      <w:proofErr w:type="spellStart"/>
      <w:r w:rsidR="00D946D7">
        <w:t>scenarier</w:t>
      </w:r>
      <w:proofErr w:type="spellEnd"/>
      <w:r w:rsidR="00D946D7">
        <w:t xml:space="preserve"> for attraktivitet.</w:t>
      </w:r>
    </w:p>
    <w:p w:rsidR="00960B8B" w:rsidRDefault="00960B8B">
      <w:pPr>
        <w:spacing w:after="0" w:line="240" w:lineRule="auto"/>
      </w:pPr>
    </w:p>
    <w:p w:rsidR="00960B8B" w:rsidRDefault="00960B8B">
      <w:pPr>
        <w:spacing w:after="0" w:line="240" w:lineRule="auto"/>
      </w:pPr>
    </w:p>
    <w:p w:rsidR="00960B8B" w:rsidRDefault="00913C8A" w:rsidP="00960B8B">
      <w:pPr>
        <w:keepNext/>
        <w:spacing w:after="0" w:line="240" w:lineRule="auto"/>
      </w:pPr>
      <w:r>
        <w:rPr>
          <w:noProof/>
          <w:lang w:eastAsia="nb-NO"/>
        </w:rPr>
        <w:drawing>
          <wp:inline distT="0" distB="0" distL="0" distR="0">
            <wp:extent cx="3143250" cy="2847975"/>
            <wp:effectExtent l="0" t="0" r="0" b="0"/>
            <wp:docPr id="55" name="Diagram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60B8B" w:rsidRDefault="00960B8B" w:rsidP="00960B8B">
      <w:pPr>
        <w:pStyle w:val="Bildetekst"/>
        <w:sectPr w:rsidR="00960B8B" w:rsidSect="00687F25">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62</w:t>
      </w:r>
      <w:r w:rsidR="004B3D9E">
        <w:fldChar w:fldCharType="end"/>
      </w:r>
      <w:r>
        <w:t>:</w:t>
      </w:r>
      <w:r w:rsidR="00D946D7">
        <w:t xml:space="preserve"> Arbeidsplassutvikling for ulike </w:t>
      </w:r>
      <w:proofErr w:type="spellStart"/>
      <w:r w:rsidR="00D946D7">
        <w:t>scenarier</w:t>
      </w:r>
      <w:proofErr w:type="spellEnd"/>
      <w:r w:rsidR="00D946D7">
        <w:t xml:space="preserve"> for attraktivitet.</w:t>
      </w:r>
    </w:p>
    <w:p w:rsidR="00CA71C1" w:rsidRDefault="00CA71C1">
      <w:pPr>
        <w:spacing w:after="0" w:line="240" w:lineRule="auto"/>
      </w:pPr>
      <w:r>
        <w:lastRenderedPageBreak/>
        <w:br w:type="page"/>
      </w:r>
    </w:p>
    <w:p w:rsidR="00CA71C1" w:rsidRDefault="00AA60D3" w:rsidP="00AA60D3">
      <w:pPr>
        <w:pStyle w:val="Overskrift3"/>
      </w:pPr>
      <w:r>
        <w:lastRenderedPageBreak/>
        <w:t xml:space="preserve">Hvor kommer veksten i </w:t>
      </w:r>
      <w:proofErr w:type="spellStart"/>
      <w:r>
        <w:t>vekstscenariet</w:t>
      </w:r>
      <w:proofErr w:type="spellEnd"/>
      <w:r>
        <w:t>?</w:t>
      </w:r>
    </w:p>
    <w:p w:rsidR="00AA60D3" w:rsidRDefault="00AA60D3" w:rsidP="00AA60D3">
      <w:r>
        <w:t xml:space="preserve">Vi kan også vise hvordan </w:t>
      </w:r>
      <w:r w:rsidR="00D26089">
        <w:t xml:space="preserve">arbeidsplassutviklingen </w:t>
      </w:r>
      <w:r>
        <w:t xml:space="preserve">blir i de ulike </w:t>
      </w:r>
      <w:proofErr w:type="spellStart"/>
      <w:r>
        <w:t>scenariene</w:t>
      </w:r>
      <w:proofErr w:type="spellEnd"/>
      <w:r>
        <w:t xml:space="preserve"> når deler opp i de ulike sektorene og næringstypene. I tabellen under viser vi antall arbeidsplasser i 2013, og antall arbeidsplasser i 2024 for de ulike </w:t>
      </w:r>
      <w:proofErr w:type="spellStart"/>
      <w:r>
        <w:t>scenariene</w:t>
      </w:r>
      <w:proofErr w:type="spellEnd"/>
      <w:r>
        <w:t>.</w:t>
      </w:r>
    </w:p>
    <w:p w:rsidR="00AA60D3" w:rsidRPr="00AA60D3" w:rsidRDefault="00AA60D3" w:rsidP="00AA60D3"/>
    <w:p w:rsidR="00AA60D3" w:rsidRDefault="00990377" w:rsidP="00AA60D3">
      <w:pPr>
        <w:keepNext/>
      </w:pPr>
      <w:r>
        <w:rPr>
          <w:noProof/>
          <w:lang w:eastAsia="nb-NO"/>
        </w:rPr>
        <w:drawing>
          <wp:inline distT="0" distB="0" distL="0" distR="0">
            <wp:extent cx="6019800" cy="4429125"/>
            <wp:effectExtent l="0" t="0" r="0" b="0"/>
            <wp:docPr id="59" name="Diagram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A60D3" w:rsidRDefault="00AA60D3" w:rsidP="00AA60D3">
      <w:pPr>
        <w:pStyle w:val="Bildetekst"/>
      </w:pPr>
      <w:r>
        <w:t xml:space="preserve">Figur </w:t>
      </w:r>
      <w:r w:rsidR="004B3D9E">
        <w:fldChar w:fldCharType="begin"/>
      </w:r>
      <w:r>
        <w:instrText xml:space="preserve"> SEQ Figur \* ARABIC </w:instrText>
      </w:r>
      <w:r w:rsidR="004B3D9E">
        <w:fldChar w:fldCharType="separate"/>
      </w:r>
      <w:r w:rsidR="00CD5BFF">
        <w:rPr>
          <w:noProof/>
        </w:rPr>
        <w:t>63</w:t>
      </w:r>
      <w:r w:rsidR="004B3D9E">
        <w:fldChar w:fldCharType="end"/>
      </w:r>
      <w:r>
        <w:t xml:space="preserve">: Antall arbeidsplasser i ulike sektorer og næringstyper i 2013, og i de ulike </w:t>
      </w:r>
      <w:proofErr w:type="spellStart"/>
      <w:r>
        <w:t>scenariene</w:t>
      </w:r>
      <w:proofErr w:type="spellEnd"/>
      <w:r>
        <w:t>.</w:t>
      </w:r>
    </w:p>
    <w:p w:rsidR="00D26089" w:rsidRDefault="0074727A" w:rsidP="00AA60D3">
      <w:r>
        <w:t xml:space="preserve">Basisnæringene kommer ut med nedgang, selv i </w:t>
      </w:r>
      <w:proofErr w:type="spellStart"/>
      <w:r>
        <w:t>vekstscenariet</w:t>
      </w:r>
      <w:proofErr w:type="spellEnd"/>
      <w:r>
        <w:t xml:space="preserve">. Det betyr at det vil være en stor utfordring å unngå nedgang. Det er likevel ingen grunn til å la vær å satse på basisnæringene. Forskjellen mellom </w:t>
      </w:r>
      <w:proofErr w:type="spellStart"/>
      <w:r>
        <w:t>vekstscenariet</w:t>
      </w:r>
      <w:proofErr w:type="spellEnd"/>
      <w:r>
        <w:t xml:space="preserve"> og </w:t>
      </w:r>
      <w:proofErr w:type="spellStart"/>
      <w:r>
        <w:t>scenariet</w:t>
      </w:r>
      <w:proofErr w:type="spellEnd"/>
      <w:r>
        <w:t xml:space="preserve"> med historisk attraktivitet er ganske stort. </w:t>
      </w:r>
    </w:p>
    <w:p w:rsidR="00D26089" w:rsidRDefault="0074727A" w:rsidP="00AA60D3">
      <w:r>
        <w:t xml:space="preserve">I besøksnæringene er </w:t>
      </w:r>
      <w:r w:rsidR="006D23F9">
        <w:t>det mulig å skape vekst, selv om potensialet for vekst fra dagens nivå ikke er veldig stort.</w:t>
      </w:r>
    </w:p>
    <w:p w:rsidR="00D26089" w:rsidRDefault="0074727A" w:rsidP="00AA60D3">
      <w:r>
        <w:t xml:space="preserve">Det vil være avgjørende hva som skjer med de regionale næringene. Forskjellen mellom </w:t>
      </w:r>
      <w:proofErr w:type="spellStart"/>
      <w:r>
        <w:t>scenariet</w:t>
      </w:r>
      <w:proofErr w:type="spellEnd"/>
      <w:r>
        <w:t xml:space="preserve"> med historisk attraktivitet og </w:t>
      </w:r>
      <w:proofErr w:type="spellStart"/>
      <w:r>
        <w:t>vekstscenariet</w:t>
      </w:r>
      <w:proofErr w:type="spellEnd"/>
      <w:r>
        <w:t xml:space="preserve"> er over </w:t>
      </w:r>
      <w:r w:rsidR="006D23F9">
        <w:t>900</w:t>
      </w:r>
      <w:r>
        <w:t xml:space="preserve"> arbeidsplasser. </w:t>
      </w:r>
    </w:p>
    <w:p w:rsidR="00AA60D3" w:rsidRPr="00AA60D3" w:rsidRDefault="0074727A" w:rsidP="00AA60D3">
      <w:r>
        <w:t xml:space="preserve">Antall ansatte i kommuner og lokale næringer vil bli litt større i </w:t>
      </w:r>
      <w:proofErr w:type="spellStart"/>
      <w:r>
        <w:t>vekstscenariet</w:t>
      </w:r>
      <w:proofErr w:type="spellEnd"/>
      <w:r>
        <w:t xml:space="preserve">, fordi det blir flere innbyggere. Antall arbeidsplasser i stat og fylke antas uendret i alle </w:t>
      </w:r>
      <w:proofErr w:type="spellStart"/>
      <w:r>
        <w:t>scenariene</w:t>
      </w:r>
      <w:proofErr w:type="spellEnd"/>
      <w:r>
        <w:t xml:space="preserve">, og antas å vokse i samme takt som tidligere. </w:t>
      </w:r>
    </w:p>
    <w:p w:rsidR="00545E02" w:rsidRDefault="00545E02">
      <w:pPr>
        <w:spacing w:after="0" w:line="240" w:lineRule="auto"/>
        <w:sectPr w:rsidR="00545E02" w:rsidSect="00687F25">
          <w:type w:val="continuous"/>
          <w:pgSz w:w="11907" w:h="16840" w:code="9"/>
          <w:pgMar w:top="1440" w:right="1080" w:bottom="1440" w:left="1080" w:header="709" w:footer="709" w:gutter="0"/>
          <w:cols w:space="708"/>
          <w:docGrid w:linePitch="360"/>
        </w:sectPr>
      </w:pPr>
      <w:r>
        <w:br w:type="page"/>
      </w:r>
    </w:p>
    <w:p w:rsidR="00545E02" w:rsidRDefault="00545E02" w:rsidP="001C59E5">
      <w:pPr>
        <w:pStyle w:val="Overskrift1"/>
      </w:pPr>
      <w:bookmarkStart w:id="56" w:name="_Toc409451088"/>
      <w:r>
        <w:lastRenderedPageBreak/>
        <w:t>Utdanning</w:t>
      </w:r>
      <w:bookmarkEnd w:id="56"/>
    </w:p>
    <w:p w:rsidR="00944412" w:rsidRDefault="00944412" w:rsidP="00944412">
      <w:pPr>
        <w:pStyle w:val="Ingress"/>
        <w:ind w:left="0"/>
      </w:pPr>
      <w:r>
        <w:t>Det er stor interesse for utdanningsnivået, både generelt i befolkningen og i næringslivet. Et høyt utdanningsnivå regnes ofte som en kvalitet i seg selv, samtidig som mange antar at et høyt utdanningsnivå også er vekstfremmende for næringslivet. I regionale utviklingsstrategier, både blant fylkeskommuner og primærkommuner, er det ofte selvstendige målsettinger om å oppnå økt utdanningsnivå. Derfor har vi tatt med dette temaet i denne rapporten. Vi vil først presentere noen data om utdanningsnivå i befolkning. Deretter konsentrerer vi oss om utdanningsnivået i næringslivet.</w:t>
      </w:r>
    </w:p>
    <w:p w:rsidR="00944412" w:rsidRDefault="00944412" w:rsidP="00944412">
      <w:pPr>
        <w:sectPr w:rsidR="00944412" w:rsidSect="00687F25">
          <w:type w:val="continuous"/>
          <w:pgSz w:w="11907" w:h="16840" w:code="9"/>
          <w:pgMar w:top="1440" w:right="1080" w:bottom="1440" w:left="1080" w:header="709" w:footer="709" w:gutter="0"/>
          <w:cols w:space="708"/>
          <w:docGrid w:linePitch="360"/>
        </w:sectPr>
      </w:pPr>
    </w:p>
    <w:p w:rsidR="00944412" w:rsidRDefault="00944412" w:rsidP="00944412">
      <w:pPr>
        <w:pStyle w:val="Overskrift3"/>
      </w:pPr>
      <w:bookmarkStart w:id="57" w:name="_Toc376866162"/>
      <w:r>
        <w:lastRenderedPageBreak/>
        <w:t>Utdanning i befolkning</w:t>
      </w:r>
      <w:bookmarkEnd w:id="57"/>
    </w:p>
    <w:p w:rsidR="00944412" w:rsidRDefault="00944412" w:rsidP="00944412">
      <w:r>
        <w:t xml:space="preserve">Utdanningsnivået i befolkningen varierer ganske mye mellom regionene. Akershus Vest har klart høyest utdanningsnivå i sin befolkning. 53,8 prosent av den sysselsatte befolkningen har høyere utdanning, dvs. minst tre år på universitet eller høyskole. Da regner vi ut andelen blant den delen av befolkningen som er registrert som sysselsatt. </w:t>
      </w:r>
      <w:r w:rsidR="002B2E54">
        <w:t xml:space="preserve"> </w:t>
      </w:r>
    </w:p>
    <w:p w:rsidR="006D6E00" w:rsidRDefault="00944412" w:rsidP="00944412">
      <w:r>
        <w:t xml:space="preserve">Andelen med høy utdanning i Norge blir dratt kraftig opp av de største byene, og de fleste regionene ligger derfor under Norges andel. </w:t>
      </w:r>
    </w:p>
    <w:p w:rsidR="00944412" w:rsidRDefault="00944412" w:rsidP="00944412">
      <w:pPr>
        <w:keepNext/>
      </w:pPr>
      <w:r>
        <w:t xml:space="preserve">Det er en vesentlig større andel av befolkningen som har høyere utdanning i 2013 enn i 2000. De unge tar utdanning i større grad enn før, og etter hvert som de trer inn i arbeidslivet til erstatning </w:t>
      </w:r>
      <w:r w:rsidR="00543298">
        <w:t>for</w:t>
      </w:r>
      <w:r>
        <w:t xml:space="preserve"> de som går ut i pensjon, øker utdanningsnivået år for år.</w:t>
      </w:r>
    </w:p>
    <w:p w:rsidR="00944412" w:rsidRDefault="006D6E00" w:rsidP="00944412">
      <w:pPr>
        <w:keepNext/>
      </w:pPr>
      <w:r>
        <w:t xml:space="preserve">Andelen høyt utdannede blant den sysselsatte befolkningen i </w:t>
      </w:r>
      <w:proofErr w:type="spellStart"/>
      <w:r>
        <w:t>Glåmdal</w:t>
      </w:r>
      <w:proofErr w:type="spellEnd"/>
      <w:r>
        <w:t xml:space="preserve"> er på 22,9 prosent. </w:t>
      </w:r>
      <w:r w:rsidR="00D107E1">
        <w:t xml:space="preserve">Det er en øking fra 16,8 prosent i 2000. </w:t>
      </w:r>
    </w:p>
    <w:p w:rsidR="00543298" w:rsidRDefault="00D107E1" w:rsidP="00944412">
      <w:pPr>
        <w:keepNext/>
      </w:pPr>
      <w:r>
        <w:t xml:space="preserve">Andelen høyt utdannede i </w:t>
      </w:r>
      <w:proofErr w:type="spellStart"/>
      <w:r>
        <w:t>Glåmdal</w:t>
      </w:r>
      <w:proofErr w:type="spellEnd"/>
      <w:r>
        <w:t xml:space="preserve"> er lav sammenliknet med de fleste andre regioner. </w:t>
      </w:r>
    </w:p>
    <w:p w:rsidR="00944412" w:rsidRDefault="00944412" w:rsidP="00944412">
      <w:pPr>
        <w:keepNext/>
      </w:pPr>
      <w:r>
        <w:br w:type="column"/>
      </w:r>
      <w:r>
        <w:rPr>
          <w:noProof/>
          <w:lang w:eastAsia="nb-NO"/>
        </w:rPr>
        <w:lastRenderedPageBreak/>
        <w:drawing>
          <wp:inline distT="0" distB="0" distL="0" distR="0">
            <wp:extent cx="3257550" cy="570108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944412" w:rsidRDefault="00944412" w:rsidP="00944412">
      <w:pPr>
        <w:pStyle w:val="Bildetekst"/>
        <w:sectPr w:rsidR="00944412" w:rsidSect="00687F25">
          <w:type w:val="continuous"/>
          <w:pgSz w:w="11907" w:h="16840" w:code="9"/>
          <w:pgMar w:top="1440" w:right="1080" w:bottom="1440" w:left="1080" w:header="709" w:footer="709" w:gutter="0"/>
          <w:cols w:num="2" w:space="481"/>
          <w:docGrid w:linePitch="360"/>
        </w:sectPr>
      </w:pPr>
      <w:r>
        <w:t xml:space="preserve">Figur </w:t>
      </w:r>
      <w:r w:rsidR="004B3D9E">
        <w:fldChar w:fldCharType="begin"/>
      </w:r>
      <w:r>
        <w:instrText xml:space="preserve"> SEQ Figur \* ARABIC </w:instrText>
      </w:r>
      <w:r w:rsidR="004B3D9E">
        <w:fldChar w:fldCharType="separate"/>
      </w:r>
      <w:r w:rsidR="00CD5BFF">
        <w:rPr>
          <w:noProof/>
        </w:rPr>
        <w:t>64</w:t>
      </w:r>
      <w:r w:rsidR="004B3D9E">
        <w:fldChar w:fldCharType="end"/>
      </w:r>
      <w:r>
        <w:t xml:space="preserve">: Andel med minst tre års høgskoleutdanning i den sysselsatte befolkningen i 2000 og 2013. </w:t>
      </w:r>
      <w:r w:rsidR="002B2E54">
        <w:t xml:space="preserve">Rangering blant landets 84 regioner. </w:t>
      </w:r>
      <w:r>
        <w:br w:type="page"/>
      </w:r>
    </w:p>
    <w:p w:rsidR="00944412" w:rsidRDefault="00944412" w:rsidP="00944412">
      <w:pPr>
        <w:pStyle w:val="Overskrift3"/>
        <w:tabs>
          <w:tab w:val="clear" w:pos="170"/>
          <w:tab w:val="clear" w:pos="284"/>
        </w:tabs>
        <w:ind w:left="720" w:hanging="720"/>
      </w:pPr>
      <w:bookmarkStart w:id="58" w:name="_Toc376866164"/>
      <w:r>
        <w:lastRenderedPageBreak/>
        <w:t>Utdanningsnivå blant pendlere</w:t>
      </w:r>
      <w:bookmarkEnd w:id="58"/>
    </w:p>
    <w:p w:rsidR="00944412" w:rsidRDefault="00944412" w:rsidP="00944412">
      <w:pPr>
        <w:keepNext/>
      </w:pPr>
      <w:r>
        <w:t xml:space="preserve">Vi vil nå se på utdanningsnivået til de som pendler ut og inn av </w:t>
      </w:r>
      <w:proofErr w:type="spellStart"/>
      <w:r w:rsidR="00DC6D4F">
        <w:t>Glåmdal</w:t>
      </w:r>
      <w:proofErr w:type="spellEnd"/>
      <w:r>
        <w:t xml:space="preserve">. </w:t>
      </w:r>
    </w:p>
    <w:p w:rsidR="00DC6D4F" w:rsidRDefault="00B73C13" w:rsidP="00944412">
      <w:pPr>
        <w:keepNext/>
      </w:pPr>
      <w:r>
        <w:t xml:space="preserve">Utdanningsnivået hos de som bor og jobber i </w:t>
      </w:r>
      <w:proofErr w:type="spellStart"/>
      <w:r>
        <w:t>Glåmdal</w:t>
      </w:r>
      <w:proofErr w:type="spellEnd"/>
      <w:r>
        <w:t xml:space="preserve"> samt hos de som bor i </w:t>
      </w:r>
      <w:proofErr w:type="spellStart"/>
      <w:r>
        <w:t>Glåmdal</w:t>
      </w:r>
      <w:proofErr w:type="spellEnd"/>
      <w:r>
        <w:t xml:space="preserve">, men som pendler ut, er lavt. Derimot er andelen høyt utdannede blant de </w:t>
      </w:r>
      <w:r w:rsidR="005E353B">
        <w:t xml:space="preserve">som pendler inn til </w:t>
      </w:r>
      <w:proofErr w:type="spellStart"/>
      <w:r w:rsidR="005E353B">
        <w:t>Glåmdal</w:t>
      </w:r>
      <w:proofErr w:type="spellEnd"/>
      <w:r w:rsidR="005E353B">
        <w:t xml:space="preserve"> høy</w:t>
      </w:r>
      <w:r>
        <w:t xml:space="preserve">. </w:t>
      </w:r>
    </w:p>
    <w:p w:rsidR="00B73C13" w:rsidRDefault="00B73C13" w:rsidP="00944412">
      <w:pPr>
        <w:keepNext/>
      </w:pPr>
      <w:r>
        <w:t xml:space="preserve">Dette kan tyde på at </w:t>
      </w:r>
      <w:proofErr w:type="spellStart"/>
      <w:r>
        <w:t>Glåmdal</w:t>
      </w:r>
      <w:proofErr w:type="spellEnd"/>
      <w:r>
        <w:t xml:space="preserve"> relativt sett er mer attraktiv som arbeidssted for de med høyere utdanning enn som bosted. </w:t>
      </w:r>
    </w:p>
    <w:p w:rsidR="00B73C13" w:rsidRDefault="00B73C13" w:rsidP="00944412">
      <w:pPr>
        <w:keepNext/>
      </w:pPr>
      <w:r>
        <w:t>Forskjellen er ganske stor sammenliknet med de andre regionene på Østlandet. Det vis</w:t>
      </w:r>
      <w:r w:rsidR="005E353B">
        <w:t xml:space="preserve">es i figuren under </w:t>
      </w:r>
      <w:r>
        <w:t>som viser d</w:t>
      </w:r>
      <w:r w:rsidR="00944412">
        <w:t>ifferansen mellom utdanningsnivå blant inn- og utpendlere</w:t>
      </w:r>
      <w:r>
        <w:t>.</w:t>
      </w:r>
    </w:p>
    <w:p w:rsidR="00944412" w:rsidRDefault="00944412" w:rsidP="00944412">
      <w:pPr>
        <w:keepNext/>
      </w:pPr>
      <w:r>
        <w:t xml:space="preserve">Oslo og omkringliggende regioner og </w:t>
      </w:r>
      <w:proofErr w:type="spellStart"/>
      <w:r>
        <w:t>byregioner</w:t>
      </w:r>
      <w:proofErr w:type="spellEnd"/>
      <w:r>
        <w:t xml:space="preserve"> som </w:t>
      </w:r>
      <w:proofErr w:type="spellStart"/>
      <w:r>
        <w:t>Tønsbergregionen</w:t>
      </w:r>
      <w:proofErr w:type="spellEnd"/>
      <w:r>
        <w:t xml:space="preserve">, Lillehammerregionen og </w:t>
      </w:r>
      <w:proofErr w:type="spellStart"/>
      <w:r>
        <w:t>Mosseregionen</w:t>
      </w:r>
      <w:proofErr w:type="spellEnd"/>
      <w:r>
        <w:t xml:space="preserve"> har høyere utdanningsnivå blant de som pendler ut. Noen typiske distriktsregioner som Hallingdal og Valdres har også høyere utdanningsnivå blant de som pendler ut.</w:t>
      </w:r>
    </w:p>
    <w:p w:rsidR="00944412" w:rsidRDefault="00515208" w:rsidP="00944412">
      <w:r>
        <w:t xml:space="preserve">I Hamarregionen er andelen høyt utdannede blant de som pendler ut og blant de som pendler inn like høyt. I de øvrige regionene i Hedmark er det en høyere andel høyt utdannede blant inn- enn utpendlerne. </w:t>
      </w:r>
    </w:p>
    <w:p w:rsidR="00515208" w:rsidRDefault="00515208" w:rsidP="00944412">
      <w:proofErr w:type="spellStart"/>
      <w:r>
        <w:t>Glåmdal</w:t>
      </w:r>
      <w:proofErr w:type="spellEnd"/>
      <w:r>
        <w:t xml:space="preserve"> bærer preg av å være blant regionene på Østlandet med høyest forskjell i utdanningsnivå blant inn- og utpendlerne. </w:t>
      </w:r>
    </w:p>
    <w:p w:rsidR="00944412" w:rsidRDefault="00944412" w:rsidP="00944412">
      <w:pPr>
        <w:pStyle w:val="Bildetekst"/>
        <w:keepNext/>
        <w:spacing w:after="120"/>
      </w:pPr>
      <w:r>
        <w:br w:type="column"/>
      </w:r>
      <w:r w:rsidR="00BB0B11">
        <w:rPr>
          <w:noProof/>
          <w:lang w:eastAsia="nb-NO"/>
        </w:rPr>
        <w:lastRenderedPageBreak/>
        <w:drawing>
          <wp:inline distT="0" distB="0" distL="0" distR="0">
            <wp:extent cx="2941955" cy="2695492"/>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44412" w:rsidRDefault="00944412" w:rsidP="00944412">
      <w:pPr>
        <w:pStyle w:val="Bildetekst"/>
      </w:pPr>
      <w:r>
        <w:t xml:space="preserve">Figur </w:t>
      </w:r>
      <w:r w:rsidR="004B3D9E">
        <w:fldChar w:fldCharType="begin"/>
      </w:r>
      <w:r>
        <w:instrText xml:space="preserve"> SEQ Figur \* ARABIC </w:instrText>
      </w:r>
      <w:r w:rsidR="004B3D9E">
        <w:fldChar w:fldCharType="separate"/>
      </w:r>
      <w:r w:rsidR="00CD5BFF">
        <w:rPr>
          <w:noProof/>
        </w:rPr>
        <w:t>65</w:t>
      </w:r>
      <w:r w:rsidR="004B3D9E">
        <w:fldChar w:fldCharType="end"/>
      </w:r>
      <w:r>
        <w:t xml:space="preserve">: Andel med høy utdanning blant de som pendler ut, inn og som både bor og arbeider i </w:t>
      </w:r>
      <w:proofErr w:type="spellStart"/>
      <w:r w:rsidR="00BB0B11">
        <w:t>Glåmdal</w:t>
      </w:r>
      <w:proofErr w:type="spellEnd"/>
      <w:r>
        <w:t>.</w:t>
      </w:r>
    </w:p>
    <w:p w:rsidR="00944412" w:rsidRDefault="00944412" w:rsidP="00944412">
      <w:pPr>
        <w:pStyle w:val="Bildetekst"/>
        <w:spacing w:after="120"/>
      </w:pPr>
      <w:r>
        <w:rPr>
          <w:noProof/>
          <w:lang w:eastAsia="nb-NO"/>
        </w:rPr>
        <w:drawing>
          <wp:inline distT="0" distB="0" distL="0" distR="0">
            <wp:extent cx="2941955" cy="4500439"/>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44412" w:rsidRDefault="00944412" w:rsidP="00944412">
      <w:pPr>
        <w:pStyle w:val="Bildetekst"/>
        <w:spacing w:before="0"/>
      </w:pPr>
      <w:r>
        <w:t xml:space="preserve">Figur </w:t>
      </w:r>
      <w:r w:rsidR="004B3D9E">
        <w:fldChar w:fldCharType="begin"/>
      </w:r>
      <w:r>
        <w:instrText xml:space="preserve"> SEQ Figur \* ARABIC </w:instrText>
      </w:r>
      <w:r w:rsidR="004B3D9E">
        <w:fldChar w:fldCharType="separate"/>
      </w:r>
      <w:r w:rsidR="00CD5BFF">
        <w:rPr>
          <w:noProof/>
        </w:rPr>
        <w:t>66</w:t>
      </w:r>
      <w:r w:rsidR="004B3D9E">
        <w:fldChar w:fldCharType="end"/>
      </w:r>
      <w:r>
        <w:t xml:space="preserve">: Differanse mellom andel med høy utdanning mellom ut- og innpendlere. Rangering blant de 84 regionene. </w:t>
      </w:r>
      <w:r>
        <w:br w:type="page"/>
      </w:r>
    </w:p>
    <w:p w:rsidR="00944412" w:rsidRDefault="00944412" w:rsidP="00944412">
      <w:pPr>
        <w:pStyle w:val="Overskrift3"/>
        <w:tabs>
          <w:tab w:val="clear" w:pos="170"/>
          <w:tab w:val="clear" w:pos="284"/>
        </w:tabs>
        <w:ind w:left="720" w:hanging="720"/>
      </w:pPr>
      <w:bookmarkStart w:id="59" w:name="_Toc376866165"/>
      <w:r>
        <w:lastRenderedPageBreak/>
        <w:t>Utdanningsnivå sektorer</w:t>
      </w:r>
      <w:bookmarkEnd w:id="59"/>
    </w:p>
    <w:p w:rsidR="00944412" w:rsidRDefault="00944412" w:rsidP="00944412">
      <w:r>
        <w:t xml:space="preserve">Det er stor forskjell på utdanningsnivået i de ulike sektorene. Fylke og stat har mye høyere andel med høyere utdanning enn de andre sektorene. </w:t>
      </w:r>
      <w:r w:rsidR="00F52976">
        <w:t xml:space="preserve">Utdanningsnivået i privat sektor er lavest. </w:t>
      </w:r>
    </w:p>
    <w:p w:rsidR="00944412" w:rsidRDefault="005238C0" w:rsidP="00944412">
      <w:r>
        <w:t xml:space="preserve">Andelen høyt utdannede i </w:t>
      </w:r>
      <w:proofErr w:type="spellStart"/>
      <w:r>
        <w:t>Glåmdal</w:t>
      </w:r>
      <w:proofErr w:type="spellEnd"/>
      <w:r>
        <w:t xml:space="preserve"> er lavere enn på landsbasis i samtlige sektorer. Forskjellen er ganske liten i fylkeskommunal sektor. Andelen høyt utdannede i fylkeskommunal sektor i </w:t>
      </w:r>
      <w:proofErr w:type="spellStart"/>
      <w:r>
        <w:t>Glåmdal</w:t>
      </w:r>
      <w:proofErr w:type="spellEnd"/>
      <w:r>
        <w:t xml:space="preserve"> er faktisk litt høyere enn i Hedmark. </w:t>
      </w:r>
    </w:p>
    <w:p w:rsidR="005238C0" w:rsidRDefault="005238C0" w:rsidP="00944412">
      <w:r>
        <w:t>I statlig sektor er andelen høyt utdannede betydelig lavere enn på land</w:t>
      </w:r>
      <w:r w:rsidR="00B86AAD">
        <w:t>sbasis og i fylket som helhet. A</w:t>
      </w:r>
      <w:r>
        <w:t xml:space="preserve">ndelen arbeidsplasser i statlig sektor i </w:t>
      </w:r>
      <w:proofErr w:type="spellStart"/>
      <w:r>
        <w:t>Glåmdal</w:t>
      </w:r>
      <w:proofErr w:type="spellEnd"/>
      <w:r>
        <w:t xml:space="preserve"> </w:t>
      </w:r>
      <w:r w:rsidR="00B86AAD">
        <w:t xml:space="preserve">er </w:t>
      </w:r>
      <w:r>
        <w:t>tilnæ</w:t>
      </w:r>
      <w:r w:rsidR="00B86AAD">
        <w:t>rmet lik andelen på landsbasis. Antallet er på 2 526. D</w:t>
      </w:r>
      <w:r>
        <w:t xml:space="preserve">en lave andelen høyt utdannede kan </w:t>
      </w:r>
      <w:r w:rsidR="00B86AAD">
        <w:t xml:space="preserve">derfor </w:t>
      </w:r>
      <w:r>
        <w:t xml:space="preserve">ikke utelukkende skyldes tilfeldigheter. </w:t>
      </w:r>
    </w:p>
    <w:p w:rsidR="00944412" w:rsidRDefault="00210B32" w:rsidP="00944412">
      <w:r>
        <w:t xml:space="preserve">Andelen høyt utdannede blant de ansatte i privat sektor i </w:t>
      </w:r>
      <w:proofErr w:type="spellStart"/>
      <w:r>
        <w:t>Glåmdal</w:t>
      </w:r>
      <w:proofErr w:type="spellEnd"/>
      <w:r>
        <w:t xml:space="preserve"> er halvparten av andelen </w:t>
      </w:r>
      <w:r w:rsidR="00B86AAD">
        <w:t>i landet som helhet</w:t>
      </w:r>
      <w:r>
        <w:t xml:space="preserve">. </w:t>
      </w:r>
    </w:p>
    <w:p w:rsidR="00944412" w:rsidRDefault="00944412" w:rsidP="00944412"/>
    <w:p w:rsidR="00944412" w:rsidRDefault="00944412" w:rsidP="00944412">
      <w:pPr>
        <w:pStyle w:val="Overskrift3"/>
        <w:tabs>
          <w:tab w:val="clear" w:pos="170"/>
          <w:tab w:val="clear" w:pos="284"/>
        </w:tabs>
        <w:ind w:left="720" w:hanging="720"/>
      </w:pPr>
      <w:bookmarkStart w:id="60" w:name="_Toc376866166"/>
      <w:r>
        <w:t>Utdanningsnivå næringslivet</w:t>
      </w:r>
      <w:bookmarkEnd w:id="60"/>
    </w:p>
    <w:p w:rsidR="00944412" w:rsidRDefault="00944412" w:rsidP="00944412">
      <w:pPr>
        <w:keepNext/>
      </w:pPr>
      <w:r>
        <w:t>I resten av rapporten skal vi se spesielt på utdanningsnivået i næringslivet. Variasjonen i utdanningsnivå i næringslivet blant regionene på Østlandet er vist i figur</w:t>
      </w:r>
      <w:r w:rsidR="00522A83">
        <w:t>en ved siden av</w:t>
      </w:r>
      <w:r>
        <w:t>.</w:t>
      </w:r>
    </w:p>
    <w:p w:rsidR="00944412" w:rsidRDefault="00944412" w:rsidP="00944412">
      <w:pPr>
        <w:keepNext/>
      </w:pPr>
      <w:r>
        <w:t>Akershus Vest har klart høyest utdanningsnivå i sitt næringsliv. 47 prosent av de som arbeider i næringslivet i Akershus Vest har høyere utdanning.</w:t>
      </w:r>
    </w:p>
    <w:p w:rsidR="00D25FB1" w:rsidRDefault="00D25FB1" w:rsidP="00944412">
      <w:pPr>
        <w:keepNext/>
      </w:pPr>
      <w:r>
        <w:t xml:space="preserve">Andelen høyt utdannede i næringslivet i </w:t>
      </w:r>
      <w:proofErr w:type="spellStart"/>
      <w:r>
        <w:t>Glåmdal</w:t>
      </w:r>
      <w:proofErr w:type="spellEnd"/>
      <w:r>
        <w:t xml:space="preserve"> er lavest blant regionene i Hedmark, og rangerer som nummer 76 blant landets 84 regioner. </w:t>
      </w:r>
    </w:p>
    <w:p w:rsidR="00D25FB1" w:rsidRDefault="00D25FB1" w:rsidP="00944412">
      <w:pPr>
        <w:keepNext/>
      </w:pPr>
      <w:r>
        <w:t xml:space="preserve">På Østlandet er det bare to regioner som har en lavere andel høyt utdannede i sitt næringsliv. </w:t>
      </w:r>
    </w:p>
    <w:p w:rsidR="00944412" w:rsidRDefault="00944412" w:rsidP="00944412">
      <w:pPr>
        <w:keepNext/>
      </w:pPr>
      <w:r>
        <w:br w:type="column"/>
      </w:r>
      <w:r w:rsidR="002D46AE">
        <w:rPr>
          <w:noProof/>
          <w:lang w:eastAsia="nb-NO"/>
        </w:rPr>
        <w:lastRenderedPageBreak/>
        <w:drawing>
          <wp:inline distT="0" distB="0" distL="0" distR="0">
            <wp:extent cx="2941955" cy="2872105"/>
            <wp:effectExtent l="0" t="0" r="0" b="444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44412" w:rsidRDefault="00944412" w:rsidP="00944412">
      <w:pPr>
        <w:pStyle w:val="Bildetekst"/>
      </w:pPr>
      <w:r>
        <w:t xml:space="preserve">Figur </w:t>
      </w:r>
      <w:r w:rsidR="004B3D9E">
        <w:fldChar w:fldCharType="begin"/>
      </w:r>
      <w:r>
        <w:instrText xml:space="preserve"> SEQ Figur \* ARABIC </w:instrText>
      </w:r>
      <w:r w:rsidR="004B3D9E">
        <w:fldChar w:fldCharType="separate"/>
      </w:r>
      <w:r w:rsidR="00CD5BFF">
        <w:rPr>
          <w:noProof/>
        </w:rPr>
        <w:t>67</w:t>
      </w:r>
      <w:r w:rsidR="004B3D9E">
        <w:rPr>
          <w:noProof/>
        </w:rPr>
        <w:fldChar w:fldCharType="end"/>
      </w:r>
      <w:r>
        <w:t xml:space="preserve">: Andel arbeidsplasser med høyere utdanning i </w:t>
      </w:r>
      <w:proofErr w:type="spellStart"/>
      <w:r w:rsidR="00AE2F2C">
        <w:t>Glåmdal</w:t>
      </w:r>
      <w:proofErr w:type="spellEnd"/>
      <w:r>
        <w:t xml:space="preserve">, </w:t>
      </w:r>
      <w:r w:rsidR="00AE2F2C">
        <w:t>Hedmark</w:t>
      </w:r>
      <w:r>
        <w:t xml:space="preserve"> og Norge etter sektor, 2013.</w:t>
      </w:r>
    </w:p>
    <w:p w:rsidR="00944412" w:rsidRDefault="00944412" w:rsidP="00944412">
      <w:pPr>
        <w:pStyle w:val="Bildetekst"/>
        <w:keepNext/>
        <w:spacing w:before="0" w:after="0"/>
      </w:pPr>
      <w:r>
        <w:rPr>
          <w:noProof/>
          <w:lang w:eastAsia="nb-NO"/>
        </w:rPr>
        <w:drawing>
          <wp:inline distT="0" distB="0" distL="0" distR="0">
            <wp:extent cx="3324225" cy="4724400"/>
            <wp:effectExtent l="0" t="0" r="0" b="0"/>
            <wp:docPr id="27"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944412" w:rsidRDefault="00944412" w:rsidP="00944412">
      <w:pPr>
        <w:pStyle w:val="Bildetekst"/>
        <w:spacing w:before="0" w:after="0"/>
      </w:pPr>
      <w:r>
        <w:t xml:space="preserve">Figur </w:t>
      </w:r>
      <w:r w:rsidR="004B3D9E">
        <w:fldChar w:fldCharType="begin"/>
      </w:r>
      <w:r>
        <w:instrText xml:space="preserve"> SEQ Figur \* ARABIC </w:instrText>
      </w:r>
      <w:r w:rsidR="004B3D9E">
        <w:fldChar w:fldCharType="separate"/>
      </w:r>
      <w:r w:rsidR="00CD5BFF">
        <w:rPr>
          <w:noProof/>
        </w:rPr>
        <w:t>68</w:t>
      </w:r>
      <w:r w:rsidR="004B3D9E">
        <w:fldChar w:fldCharType="end"/>
      </w:r>
      <w:r>
        <w:t xml:space="preserve">: </w:t>
      </w:r>
      <w:r w:rsidRPr="00864B37">
        <w:t>Andel med høyere utdanning i næringslivet i regionene, etter arbeidssted</w:t>
      </w:r>
      <w:r>
        <w:t>, 2013</w:t>
      </w:r>
      <w:r w:rsidRPr="00864B37">
        <w:t>.</w:t>
      </w:r>
      <w:r>
        <w:t xml:space="preserve"> Rangering blant landets 84 regioner. </w:t>
      </w:r>
    </w:p>
    <w:p w:rsidR="00944412" w:rsidRDefault="00944412" w:rsidP="00944412">
      <w:pPr>
        <w:spacing w:after="0" w:line="240" w:lineRule="auto"/>
        <w:rPr>
          <w:bCs/>
          <w:sz w:val="18"/>
          <w:szCs w:val="18"/>
        </w:rPr>
      </w:pPr>
      <w:r>
        <w:br w:type="page"/>
      </w:r>
    </w:p>
    <w:p w:rsidR="00944412" w:rsidRDefault="00944412" w:rsidP="00944412">
      <w:pPr>
        <w:pStyle w:val="Overskrift3"/>
        <w:tabs>
          <w:tab w:val="clear" w:pos="170"/>
          <w:tab w:val="clear" w:pos="284"/>
        </w:tabs>
        <w:ind w:left="720" w:hanging="720"/>
      </w:pPr>
      <w:bookmarkStart w:id="61" w:name="_Toc376866168"/>
      <w:r>
        <w:lastRenderedPageBreak/>
        <w:t>Utdanningsnivå i kommuner</w:t>
      </w:r>
      <w:bookmarkEnd w:id="61"/>
    </w:p>
    <w:p w:rsidR="00944412" w:rsidRDefault="00944412" w:rsidP="00944412">
      <w:r>
        <w:t>Vi kan også se på utdanningsnivået i næringslivet i kommunene.</w:t>
      </w:r>
    </w:p>
    <w:p w:rsidR="00944412" w:rsidRDefault="00D25FB1" w:rsidP="00944412">
      <w:r>
        <w:t>Sa</w:t>
      </w:r>
      <w:r w:rsidR="00F055C4">
        <w:t xml:space="preserve">mtlige kommuner i </w:t>
      </w:r>
      <w:proofErr w:type="spellStart"/>
      <w:r w:rsidR="00F055C4">
        <w:t>Glåmdal</w:t>
      </w:r>
      <w:proofErr w:type="spellEnd"/>
      <w:r w:rsidR="00F055C4">
        <w:t xml:space="preserve"> har et</w:t>
      </w:r>
      <w:r>
        <w:t xml:space="preserve"> under middels nivå på andelen høyt utdannede i sitt næringsliv. </w:t>
      </w:r>
    </w:p>
    <w:p w:rsidR="00D25FB1" w:rsidRDefault="00D25FB1" w:rsidP="00944412">
      <w:r>
        <w:t>Andelen høyt utdannede er spesielt lav</w:t>
      </w:r>
      <w:r w:rsidR="00F055C4">
        <w:t>t</w:t>
      </w:r>
      <w:r>
        <w:t xml:space="preserve"> i Eidskog. Der har bare 9,5 prosent av </w:t>
      </w:r>
      <w:r w:rsidR="00BE038C">
        <w:t xml:space="preserve">de som jobber i næringslivet høyere utdanning. </w:t>
      </w:r>
    </w:p>
    <w:p w:rsidR="00BE038C" w:rsidRDefault="00BE038C" w:rsidP="00944412">
      <w:r>
        <w:t xml:space="preserve">Vi så i kapittelet om lokaliseringskvotienter at det er relativt mange som jobber innen gruve, anna industri og landbruk i </w:t>
      </w:r>
      <w:proofErr w:type="spellStart"/>
      <w:r>
        <w:t>Glåmdal</w:t>
      </w:r>
      <w:proofErr w:type="spellEnd"/>
      <w:r>
        <w:t xml:space="preserve">. Dette er bransjer som ikke har en høy andel høyt utdannede på landsbasis. Kanskje det lave utdanningsnivået i næringslivet i </w:t>
      </w:r>
      <w:proofErr w:type="spellStart"/>
      <w:r>
        <w:t>Glåmdal</w:t>
      </w:r>
      <w:proofErr w:type="spellEnd"/>
      <w:r>
        <w:t xml:space="preserve"> skyldes bransjestruktur? Det vil vi se nærmere på, på neste side. </w:t>
      </w:r>
    </w:p>
    <w:p w:rsidR="00944412" w:rsidRDefault="00944412" w:rsidP="00944412"/>
    <w:p w:rsidR="00944412" w:rsidRDefault="00944412" w:rsidP="00944412"/>
    <w:p w:rsidR="00944412" w:rsidRDefault="00944412" w:rsidP="00944412"/>
    <w:p w:rsidR="00944412" w:rsidRDefault="00944412" w:rsidP="00944412">
      <w:pPr>
        <w:pStyle w:val="Bildetekst"/>
        <w:keepNext/>
        <w:spacing w:before="0" w:after="0"/>
      </w:pPr>
      <w:r>
        <w:br w:type="column"/>
      </w:r>
      <w:r w:rsidR="00A0438C">
        <w:rPr>
          <w:noProof/>
          <w:lang w:eastAsia="nb-NO"/>
        </w:rPr>
        <w:lastRenderedPageBreak/>
        <w:drawing>
          <wp:inline distT="0" distB="0" distL="0" distR="0">
            <wp:extent cx="2941955" cy="42698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944412" w:rsidRDefault="00944412" w:rsidP="00944412">
      <w:pPr>
        <w:pStyle w:val="Bildetekst"/>
        <w:sectPr w:rsidR="00944412" w:rsidSect="00687F25">
          <w:type w:val="continuous"/>
          <w:pgSz w:w="11907" w:h="16840" w:code="9"/>
          <w:pgMar w:top="1440" w:right="1080" w:bottom="1440" w:left="1080" w:header="709" w:footer="709" w:gutter="0"/>
          <w:cols w:num="2" w:space="481"/>
          <w:docGrid w:linePitch="360"/>
        </w:sectPr>
      </w:pPr>
      <w:r>
        <w:t xml:space="preserve">Figur </w:t>
      </w:r>
      <w:r w:rsidR="004B3D9E">
        <w:fldChar w:fldCharType="begin"/>
      </w:r>
      <w:r>
        <w:instrText xml:space="preserve"> SEQ Figur \* ARABIC </w:instrText>
      </w:r>
      <w:r w:rsidR="004B3D9E">
        <w:fldChar w:fldCharType="separate"/>
      </w:r>
      <w:r w:rsidR="00CD5BFF">
        <w:rPr>
          <w:noProof/>
        </w:rPr>
        <w:t>69</w:t>
      </w:r>
      <w:r w:rsidR="004B3D9E">
        <w:fldChar w:fldCharType="end"/>
      </w:r>
      <w:r>
        <w:t xml:space="preserve">: </w:t>
      </w:r>
      <w:r w:rsidRPr="00BA4335">
        <w:t>Andel med høyere utdanning i næringslivet i kommunene, etter arbeidssted</w:t>
      </w:r>
      <w:r>
        <w:t>, 2013</w:t>
      </w:r>
      <w:r w:rsidRPr="00BA4335">
        <w:t>.</w:t>
      </w:r>
      <w:r>
        <w:t xml:space="preserve"> Rangering blant landets 428 kommuner. </w:t>
      </w:r>
      <w:r>
        <w:br w:type="page"/>
      </w:r>
    </w:p>
    <w:p w:rsidR="00944412" w:rsidRDefault="00944412" w:rsidP="00944412">
      <w:pPr>
        <w:pStyle w:val="Overskrift2"/>
        <w:spacing w:before="120"/>
      </w:pPr>
      <w:r>
        <w:lastRenderedPageBreak/>
        <w:t>Hvorfor varierer utdanningsnivået?</w:t>
      </w:r>
    </w:p>
    <w:p w:rsidR="00272EB3" w:rsidRDefault="00944412" w:rsidP="00944412">
      <w:r>
        <w:t>Det er store forskjeller mellom utdanningsnivået i de ulike bransjene. I figuren til høyre ser vi at i noen bransjer, som tele og IKT og teknisk/vitenskapelige tjenester, er andelen ansatte med høyere utdanning godt over 50 prosent. I bransjer som bygg og anlegg og handel er andelen rundt 10 prosent.</w:t>
      </w:r>
      <w:r w:rsidR="007E1012">
        <w:t xml:space="preserve"> </w:t>
      </w:r>
    </w:p>
    <w:p w:rsidR="007155E8" w:rsidRDefault="007E1012" w:rsidP="00944412">
      <w:r>
        <w:t xml:space="preserve">Landbruksnæringen, som er stor i </w:t>
      </w:r>
      <w:proofErr w:type="spellStart"/>
      <w:r>
        <w:t>Glåmdal</w:t>
      </w:r>
      <w:proofErr w:type="spellEnd"/>
      <w:r>
        <w:t xml:space="preserve">, er en næring med et generelt lavt utdanningsnivå nasjonalt. I </w:t>
      </w:r>
      <w:proofErr w:type="spellStart"/>
      <w:r>
        <w:t>Glåmdal</w:t>
      </w:r>
      <w:proofErr w:type="spellEnd"/>
      <w:r>
        <w:t xml:space="preserve"> er andelen høyt utdannede innen landbruket noe høyere enn andelen på landsbasis. </w:t>
      </w:r>
      <w:r w:rsidR="009A574A">
        <w:t xml:space="preserve">I de øvrige bransjene er andelen høyt utdannede lavere. </w:t>
      </w:r>
    </w:p>
    <w:p w:rsidR="00944412" w:rsidRDefault="00944412" w:rsidP="00944412">
      <w:r>
        <w:t>Ettersom det er store forskjeller mellom utdanningsnivå mellom bransjene, vil det være interessant å undersøke om de regionale ulikhetene mellom utdanningsnivå i næringslivet skyldes at bransjestrukturen er forskjellig. Det har vi gjort i den nederste figuren. Bransjeeffekten er beregnet gjennom å kalkulere hvilken andel ansatte med høy utdanning det ville vært dersom det var gjennomsnittlig utdanningsnivå i hver enkelt bransje, og deretter trekke fra næringslivets generelle utdanningsnivå. Da kan vi se at Akershus Vest ville ha hatt en andel ansatte med høy utdanning i næringslivet som var høyere enn gjennomsnittet for Norge. Blant regionene på Østlandet er det bare Oslo og Akershus Vest som har en positiv bransjeeffekt.</w:t>
      </w:r>
      <w:r w:rsidR="00272EB3">
        <w:t xml:space="preserve"> </w:t>
      </w:r>
      <w:r>
        <w:t>Når vi har regnet ut bransjeeffekten, kan vi også se om noen regioner har unormalt høyt utdanningsnivå når bransjeeffekten er trukket fra. Det er tre regioner på Østlandet som har spesielt høy bransjejustert utdanningsnivå, Akershus Vest, Oslo og Kongsberg/Numedal. Alle de andre regionene har et utdanningsnivå som er lavere enn bransjestrukturen skulle tilsi.</w:t>
      </w:r>
    </w:p>
    <w:p w:rsidR="00556E48" w:rsidRDefault="007A6516" w:rsidP="007A6516">
      <w:proofErr w:type="spellStart"/>
      <w:r>
        <w:t>Glåmdal</w:t>
      </w:r>
      <w:proofErr w:type="spellEnd"/>
      <w:r>
        <w:t xml:space="preserve"> har en bransjestruktur som tilsier at utdanningsnivået i næringslivet skal være lavere enn nivået på landsbasis. Dette skyldes bl.a. mye næringsliv i landbruket. På den annen side er utdanningsnivået mye lavere enn bransjestrukturen skulle tilsi. Når vi justerer for bransjestruktur</w:t>
      </w:r>
      <w:r w:rsidR="00272EB3">
        <w:t xml:space="preserve">, er </w:t>
      </w:r>
      <w:proofErr w:type="spellStart"/>
      <w:r w:rsidR="00272EB3">
        <w:t>Glåmdal</w:t>
      </w:r>
      <w:proofErr w:type="spellEnd"/>
      <w:r w:rsidR="00272EB3">
        <w:t xml:space="preserve"> regionen</w:t>
      </w:r>
      <w:r>
        <w:t xml:space="preserve"> på Østlandet med lavest utdanningsnivå i næringslivet. </w:t>
      </w:r>
    </w:p>
    <w:p w:rsidR="00944412" w:rsidRDefault="00944412" w:rsidP="00944412">
      <w:pPr>
        <w:spacing w:after="0"/>
      </w:pPr>
      <w:r>
        <w:br w:type="column"/>
      </w:r>
      <w:r w:rsidR="00E76FEE">
        <w:rPr>
          <w:noProof/>
          <w:lang w:eastAsia="nb-NO"/>
        </w:rPr>
        <w:lastRenderedPageBreak/>
        <w:drawing>
          <wp:inline distT="0" distB="0" distL="0" distR="0">
            <wp:extent cx="2941955" cy="3522428"/>
            <wp:effectExtent l="0" t="0" r="0" b="190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944412" w:rsidRDefault="00944412" w:rsidP="00944412">
      <w:pPr>
        <w:pStyle w:val="Bildetekst"/>
        <w:spacing w:before="0" w:after="0"/>
      </w:pPr>
      <w:r>
        <w:t xml:space="preserve">Figur </w:t>
      </w:r>
      <w:r w:rsidR="004B3D9E">
        <w:fldChar w:fldCharType="begin"/>
      </w:r>
      <w:r>
        <w:instrText xml:space="preserve"> SEQ Figur \* ARABIC </w:instrText>
      </w:r>
      <w:r w:rsidR="004B3D9E">
        <w:fldChar w:fldCharType="separate"/>
      </w:r>
      <w:r w:rsidR="00CD5BFF">
        <w:rPr>
          <w:noProof/>
        </w:rPr>
        <w:t>70</w:t>
      </w:r>
      <w:r w:rsidR="004B3D9E">
        <w:fldChar w:fldCharType="end"/>
      </w:r>
      <w:r>
        <w:t xml:space="preserve">: Andel av ansatte med minst tre års høyere utdanning i ulike bransjer i Norge og </w:t>
      </w:r>
      <w:proofErr w:type="spellStart"/>
      <w:r w:rsidR="00290F06">
        <w:t>Glåmdal</w:t>
      </w:r>
      <w:proofErr w:type="spellEnd"/>
      <w:r>
        <w:t>, 2013.</w:t>
      </w:r>
    </w:p>
    <w:p w:rsidR="00944412" w:rsidRDefault="00944412" w:rsidP="00944412">
      <w:pPr>
        <w:pStyle w:val="Bildetekst"/>
        <w:keepNext/>
        <w:spacing w:before="0"/>
      </w:pPr>
      <w:r>
        <w:rPr>
          <w:noProof/>
          <w:lang w:eastAsia="nb-NO"/>
        </w:rPr>
        <w:drawing>
          <wp:inline distT="0" distB="0" distL="0" distR="0">
            <wp:extent cx="2941955" cy="4341412"/>
            <wp:effectExtent l="0" t="0" r="0" b="254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944412" w:rsidRDefault="00944412" w:rsidP="00944412">
      <w:pPr>
        <w:pStyle w:val="Bildetekst"/>
        <w:spacing w:before="0" w:after="0"/>
        <w:sectPr w:rsidR="00944412" w:rsidSect="00687F25">
          <w:type w:val="continuous"/>
          <w:pgSz w:w="11907" w:h="16840" w:code="9"/>
          <w:pgMar w:top="1440" w:right="1080" w:bottom="1440" w:left="1080" w:header="709" w:footer="709" w:gutter="0"/>
          <w:cols w:num="2" w:space="481"/>
          <w:docGrid w:linePitch="360"/>
        </w:sectPr>
      </w:pPr>
      <w:r>
        <w:t xml:space="preserve">Figur </w:t>
      </w:r>
      <w:r w:rsidR="004B3D9E">
        <w:fldChar w:fldCharType="begin"/>
      </w:r>
      <w:r>
        <w:instrText xml:space="preserve"> SEQ Figur \* ARABIC </w:instrText>
      </w:r>
      <w:r w:rsidR="004B3D9E">
        <w:fldChar w:fldCharType="separate"/>
      </w:r>
      <w:r w:rsidR="00CD5BFF">
        <w:rPr>
          <w:noProof/>
        </w:rPr>
        <w:t>71</w:t>
      </w:r>
      <w:r w:rsidR="004B3D9E">
        <w:fldChar w:fldCharType="end"/>
      </w:r>
      <w:r>
        <w:t xml:space="preserve">: Avvik mellom regionenes utdanningsnivå i næringslivet og nivået i Norges næringsliv, dekomponert i bransjeeffekt og bransjejustert andel. Rangering blant landets 84 regioner mht. bransjejustert andel. </w:t>
      </w:r>
      <w:r>
        <w:br w:type="page"/>
      </w:r>
    </w:p>
    <w:p w:rsidR="00944412" w:rsidRDefault="00944412" w:rsidP="00944412">
      <w:pPr>
        <w:pStyle w:val="Overskrift3"/>
        <w:tabs>
          <w:tab w:val="clear" w:pos="170"/>
        </w:tabs>
        <w:spacing w:before="480"/>
        <w:ind w:left="720" w:hanging="720"/>
      </w:pPr>
      <w:r>
        <w:lastRenderedPageBreak/>
        <w:t>Bransjejustert utdanningsnivå i kommunene</w:t>
      </w:r>
    </w:p>
    <w:p w:rsidR="00392836" w:rsidRDefault="00392836" w:rsidP="00392836">
      <w:r>
        <w:t>Vi kan gjøre den samme analysen for kommunene som vi gjorde for regionene på forrige side.</w:t>
      </w:r>
    </w:p>
    <w:p w:rsidR="00392836" w:rsidRDefault="00392836" w:rsidP="00392836">
      <w:r>
        <w:t xml:space="preserve">Hamar er den eneste kommunen i Hedmark som har en bransjesammensetning som tilsier </w:t>
      </w:r>
      <w:r w:rsidR="00FE0B56">
        <w:t>over gjennomsnittet</w:t>
      </w:r>
      <w:r>
        <w:t xml:space="preserve"> høy andel høyt utdannede i næringslivet. Den faktiske andelen høyt utdannede er derimot lavere enn bransjestrukturen skulle tilsi. </w:t>
      </w:r>
    </w:p>
    <w:p w:rsidR="00392836" w:rsidRDefault="00392836" w:rsidP="00392836">
      <w:r>
        <w:t xml:space="preserve">De fleste kommunene i </w:t>
      </w:r>
      <w:proofErr w:type="spellStart"/>
      <w:r>
        <w:t>Glåmdal</w:t>
      </w:r>
      <w:proofErr w:type="spellEnd"/>
      <w:r>
        <w:t xml:space="preserve"> rangerer lavt mht. både bransjeeffekt og bransjejustert utdanningsnivå. </w:t>
      </w:r>
    </w:p>
    <w:p w:rsidR="00392836" w:rsidRDefault="00392836" w:rsidP="00392836">
      <w:r>
        <w:t xml:space="preserve">Kongsvinger er kommunen med minst dårlig bransjeeffekt. </w:t>
      </w:r>
      <w:r w:rsidR="00DA55D8">
        <w:t>B</w:t>
      </w:r>
      <w:r>
        <w:t xml:space="preserve">ransjesammensetningen i </w:t>
      </w:r>
      <w:r w:rsidR="00E66D37">
        <w:t>Kongsvinger</w:t>
      </w:r>
      <w:r>
        <w:t xml:space="preserve"> tilsier en andel høyt utdannede som bare er litt lavere enn </w:t>
      </w:r>
      <w:r w:rsidR="00B81A15">
        <w:t>lands</w:t>
      </w:r>
      <w:r>
        <w:t xml:space="preserve">gjennomsnittet. </w:t>
      </w:r>
    </w:p>
    <w:p w:rsidR="00392836" w:rsidRPr="00FA3479" w:rsidRDefault="00392836" w:rsidP="00392836">
      <w:r w:rsidRPr="00FA3479">
        <w:t xml:space="preserve">Det er også et annet forhold som kommer fram i disse analysene. Stedene som har en gunstig bransjestruktur for å oppnå høyt utdanningsnivå har også generelt høyt bransjejustert utdanningsnivå. De høyt utdannede har en tendens til å klumpe seg på noen steder, og på slike steder er det </w:t>
      </w:r>
      <w:proofErr w:type="spellStart"/>
      <w:r w:rsidRPr="00FA3479">
        <w:t>forholdvis</w:t>
      </w:r>
      <w:proofErr w:type="spellEnd"/>
      <w:r w:rsidRPr="00FA3479">
        <w:t xml:space="preserve"> høyt utdanningsnivå i alle bransjer. Steder med offentlige institusjoner som drar opp utdanningsnivået på stedet, som f.eks. høgskoler, har en tendens til å få høyt utdanningsnivå i alle bransjer i næringslivet. </w:t>
      </w:r>
    </w:p>
    <w:p w:rsidR="00392836" w:rsidRPr="00FA3479" w:rsidRDefault="00392836" w:rsidP="00392836">
      <w:r w:rsidRPr="00FA3479">
        <w:t>En skulle tro at det å ha et høyt utdanningsnivå fører til bedre vekst og lønnsomhet i næringslivet, men denne sammenhengen har vi hatt problemer med å påvise.</w:t>
      </w:r>
    </w:p>
    <w:p w:rsidR="00944412" w:rsidRDefault="00944412" w:rsidP="00944412">
      <w:r>
        <w:br w:type="column"/>
      </w:r>
      <w:r w:rsidR="002037E6">
        <w:rPr>
          <w:noProof/>
          <w:lang w:eastAsia="nb-NO"/>
        </w:rPr>
        <w:lastRenderedPageBreak/>
        <w:drawing>
          <wp:inline distT="0" distB="0" distL="0" distR="0">
            <wp:extent cx="2869565" cy="4683318"/>
            <wp:effectExtent l="0" t="0" r="6985" b="31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44412" w:rsidRDefault="00944412" w:rsidP="00944412">
      <w:pPr>
        <w:pStyle w:val="Bildetekst"/>
      </w:pPr>
      <w:r>
        <w:t xml:space="preserve">Figur </w:t>
      </w:r>
      <w:r w:rsidR="004B3D9E">
        <w:fldChar w:fldCharType="begin"/>
      </w:r>
      <w:r>
        <w:instrText xml:space="preserve"> SEQ Figur \* ARABIC </w:instrText>
      </w:r>
      <w:r w:rsidR="004B3D9E">
        <w:fldChar w:fldCharType="separate"/>
      </w:r>
      <w:r w:rsidR="00CD5BFF">
        <w:rPr>
          <w:noProof/>
        </w:rPr>
        <w:t>72</w:t>
      </w:r>
      <w:r w:rsidR="004B3D9E">
        <w:fldChar w:fldCharType="end"/>
      </w:r>
      <w:r>
        <w:t>: Avvik mellom kommunenes utdanningsnivå i næringslivet og nivået i Norges næringsliv, dekomponert i bransjeeffekt og bransjejustert andel.</w:t>
      </w:r>
    </w:p>
    <w:p w:rsidR="00E77194" w:rsidRDefault="00E77194" w:rsidP="00E77194"/>
    <w:p w:rsidR="002037E6" w:rsidRDefault="00370B29">
      <w:pPr>
        <w:spacing w:after="0" w:line="240" w:lineRule="auto"/>
        <w:sectPr w:rsidR="002037E6" w:rsidSect="00687F25">
          <w:type w:val="continuous"/>
          <w:pgSz w:w="11907" w:h="16840" w:code="9"/>
          <w:pgMar w:top="1440" w:right="1080" w:bottom="1440" w:left="1080" w:header="709" w:footer="709" w:gutter="0"/>
          <w:cols w:num="2" w:space="708"/>
          <w:docGrid w:linePitch="360"/>
        </w:sectPr>
      </w:pPr>
      <w:r>
        <w:br w:type="page"/>
      </w:r>
    </w:p>
    <w:p w:rsidR="00500C46" w:rsidRDefault="00500C46" w:rsidP="00500C46">
      <w:pPr>
        <w:pStyle w:val="Overskrift1"/>
      </w:pPr>
      <w:bookmarkStart w:id="62" w:name="_Toc376866150"/>
      <w:bookmarkStart w:id="63" w:name="_Toc376866240"/>
      <w:bookmarkStart w:id="64" w:name="_Toc376866322"/>
      <w:bookmarkStart w:id="65" w:name="_Toc378016991"/>
      <w:bookmarkStart w:id="66" w:name="_Toc378143641"/>
      <w:bookmarkStart w:id="67" w:name="_Toc381189698"/>
      <w:bookmarkStart w:id="68" w:name="_Toc407970406"/>
      <w:bookmarkStart w:id="69" w:name="_Toc409451089"/>
      <w:r>
        <w:lastRenderedPageBreak/>
        <w:t>Innovasjon</w:t>
      </w:r>
      <w:bookmarkEnd w:id="62"/>
      <w:bookmarkEnd w:id="63"/>
      <w:bookmarkEnd w:id="64"/>
      <w:bookmarkEnd w:id="65"/>
      <w:bookmarkEnd w:id="66"/>
      <w:bookmarkEnd w:id="67"/>
      <w:bookmarkEnd w:id="68"/>
      <w:bookmarkEnd w:id="69"/>
    </w:p>
    <w:p w:rsidR="00500C46" w:rsidRDefault="00500C46" w:rsidP="00500C46">
      <w:pPr>
        <w:pStyle w:val="Ingress"/>
        <w:ind w:left="0"/>
      </w:pPr>
      <w:r>
        <w:t>Innovasjon er et sentralt begrep for å forklare global vekst. Nye produkter og forbedrede prosesser skaper økonomisk vekst. Det er derfor interessant å forsøke å måle regionale variasjoner i næringslivets innovasjon. Kan slike forskjeller være med på å forklare hvorfor regionene har ulik næringsutvikling?</w:t>
      </w:r>
    </w:p>
    <w:p w:rsidR="00500C46" w:rsidRDefault="00500C46" w:rsidP="00500C46">
      <w:r>
        <w:t>Statistisk Sentralbyrå gjennomfører regelmessig en spørreundersøkelse om innovasjon i næringslivet, som vi har fått tilgang til. Siste utgave av denne undersøkelsen ble gjennomført i 2010 og omfattet 6 595 foretak. Mange av disse hadde virksomhet i flere bransjer og kommuner, og hadde til sammen 10 870 bedrifter. Undersøkelsen har en rekke spørsmål om FoU, innovasjon og samarbeid. Vi har konsentrert oss om spørsmål som går direkte på om bedriftene faktisk har gjennomført innovasjoner.</w:t>
      </w:r>
    </w:p>
    <w:p w:rsidR="00500C46" w:rsidRDefault="00500C46" w:rsidP="00500C46">
      <w:pPr>
        <w:pStyle w:val="Bildetekst"/>
        <w:keepNext/>
      </w:pPr>
      <w:r>
        <w:t xml:space="preserve">Tabell </w:t>
      </w:r>
      <w:r w:rsidR="004B3D9E">
        <w:fldChar w:fldCharType="begin"/>
      </w:r>
      <w:r>
        <w:instrText xml:space="preserve"> SEQ Tabell \* ARABIC </w:instrText>
      </w:r>
      <w:r w:rsidR="004B3D9E">
        <w:fldChar w:fldCharType="separate"/>
      </w:r>
      <w:r w:rsidR="00CD5BFF">
        <w:rPr>
          <w:noProof/>
        </w:rPr>
        <w:t>9</w:t>
      </w:r>
      <w:r w:rsidR="004B3D9E">
        <w:rPr>
          <w:noProof/>
        </w:rPr>
        <w:fldChar w:fldCharType="end"/>
      </w:r>
      <w:r>
        <w:t>: Spørsmål fra innovasjonsundersøkelsen som er brukt i innovasjonsmålingen.</w:t>
      </w:r>
    </w:p>
    <w:tbl>
      <w:tblPr>
        <w:tblW w:w="9588" w:type="dxa"/>
        <w:tblInd w:w="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tblPr>
      <w:tblGrid>
        <w:gridCol w:w="1291"/>
        <w:gridCol w:w="5453"/>
        <w:gridCol w:w="2192"/>
        <w:gridCol w:w="652"/>
      </w:tblGrid>
      <w:tr w:rsidR="00500C46" w:rsidTr="00F53AA9">
        <w:trPr>
          <w:trHeight w:val="421"/>
        </w:trPr>
        <w:tc>
          <w:tcPr>
            <w:tcW w:w="1291" w:type="dxa"/>
          </w:tcPr>
          <w:p w:rsidR="00500C46" w:rsidRDefault="00500C46" w:rsidP="00F53AA9">
            <w:pPr>
              <w:rPr>
                <w:rFonts w:ascii="Arial" w:hAnsi="Arial" w:cs="Arial"/>
                <w:color w:val="000000"/>
                <w:szCs w:val="20"/>
              </w:rPr>
            </w:pPr>
          </w:p>
        </w:tc>
        <w:tc>
          <w:tcPr>
            <w:tcW w:w="5453" w:type="dxa"/>
            <w:shd w:val="clear" w:color="auto" w:fill="auto"/>
            <w:noWrap/>
          </w:tcPr>
          <w:p w:rsidR="00500C46" w:rsidRDefault="00500C46" w:rsidP="00F53AA9">
            <w:pPr>
              <w:rPr>
                <w:rFonts w:ascii="Arial" w:hAnsi="Arial" w:cs="Arial"/>
                <w:color w:val="000000"/>
                <w:szCs w:val="20"/>
              </w:rPr>
            </w:pPr>
            <w:r>
              <w:rPr>
                <w:rFonts w:ascii="Arial" w:hAnsi="Arial" w:cs="Arial"/>
                <w:color w:val="000000"/>
                <w:szCs w:val="20"/>
              </w:rPr>
              <w:t>Tekst: Verdi lik 1 hvis…</w:t>
            </w:r>
          </w:p>
        </w:tc>
        <w:tc>
          <w:tcPr>
            <w:tcW w:w="2192" w:type="dxa"/>
          </w:tcPr>
          <w:p w:rsidR="00500C46" w:rsidRDefault="00500C46" w:rsidP="00F53AA9">
            <w:pPr>
              <w:rPr>
                <w:rFonts w:ascii="Arial" w:hAnsi="Arial" w:cs="Arial"/>
                <w:color w:val="000000"/>
                <w:szCs w:val="20"/>
              </w:rPr>
            </w:pPr>
            <w:r>
              <w:rPr>
                <w:rFonts w:ascii="Arial" w:hAnsi="Arial" w:cs="Arial"/>
                <w:color w:val="000000"/>
                <w:szCs w:val="20"/>
              </w:rPr>
              <w:t>Kort navn</w:t>
            </w:r>
          </w:p>
        </w:tc>
        <w:tc>
          <w:tcPr>
            <w:tcW w:w="652" w:type="dxa"/>
          </w:tcPr>
          <w:p w:rsidR="00500C46" w:rsidRDefault="00500C46" w:rsidP="00F53AA9">
            <w:pPr>
              <w:rPr>
                <w:rFonts w:ascii="Arial" w:hAnsi="Arial" w:cs="Arial"/>
                <w:color w:val="000000"/>
                <w:szCs w:val="20"/>
              </w:rPr>
            </w:pPr>
            <w:r>
              <w:rPr>
                <w:rFonts w:ascii="Arial" w:hAnsi="Arial" w:cs="Arial"/>
                <w:color w:val="000000"/>
                <w:szCs w:val="20"/>
              </w:rPr>
              <w:t>Vekt</w:t>
            </w:r>
          </w:p>
        </w:tc>
      </w:tr>
      <w:tr w:rsidR="00500C46" w:rsidTr="00F53AA9">
        <w:trPr>
          <w:trHeight w:val="300"/>
        </w:trPr>
        <w:tc>
          <w:tcPr>
            <w:tcW w:w="1291" w:type="dxa"/>
            <w:vMerge w:val="restart"/>
            <w:vAlign w:val="center"/>
          </w:tcPr>
          <w:p w:rsidR="00500C46" w:rsidRPr="008C1241" w:rsidRDefault="00500C46" w:rsidP="00F53AA9">
            <w:pPr>
              <w:spacing w:after="0"/>
              <w:jc w:val="center"/>
              <w:rPr>
                <w:rFonts w:ascii="Arial" w:hAnsi="Arial" w:cs="Arial"/>
                <w:color w:val="000000"/>
                <w:szCs w:val="20"/>
              </w:rPr>
            </w:pPr>
            <w:proofErr w:type="spellStart"/>
            <w:r w:rsidRPr="008C1241">
              <w:rPr>
                <w:rFonts w:ascii="Arial" w:hAnsi="Arial" w:cs="Arial"/>
                <w:color w:val="000000"/>
                <w:szCs w:val="20"/>
              </w:rPr>
              <w:t>Produkt-innovasjon</w:t>
            </w:r>
            <w:proofErr w:type="spellEnd"/>
          </w:p>
        </w:tc>
        <w:tc>
          <w:tcPr>
            <w:tcW w:w="5453" w:type="dxa"/>
            <w:shd w:val="clear" w:color="auto" w:fill="auto"/>
            <w:noWrap/>
            <w:hideMark/>
          </w:tcPr>
          <w:p w:rsidR="00500C46" w:rsidRPr="008C1241" w:rsidRDefault="00500C46" w:rsidP="00F53AA9">
            <w:pPr>
              <w:spacing w:after="0"/>
              <w:rPr>
                <w:rFonts w:ascii="Arial" w:hAnsi="Arial" w:cs="Arial"/>
                <w:color w:val="000000"/>
                <w:sz w:val="16"/>
                <w:szCs w:val="16"/>
              </w:rPr>
            </w:pPr>
            <w:r w:rsidRPr="008C1241">
              <w:rPr>
                <w:rFonts w:ascii="Arial" w:hAnsi="Arial" w:cs="Arial"/>
                <w:color w:val="000000"/>
                <w:sz w:val="16"/>
                <w:szCs w:val="16"/>
              </w:rPr>
              <w:t>foretaket introduserte produktinnovasjon i form av nye eller vesentlig</w:t>
            </w:r>
            <w:r>
              <w:rPr>
                <w:rFonts w:ascii="Arial" w:hAnsi="Arial" w:cs="Arial"/>
                <w:color w:val="000000"/>
                <w:sz w:val="16"/>
                <w:szCs w:val="16"/>
              </w:rPr>
              <w:t xml:space="preserve"> forbedrede varer i perioden 2010-2012</w:t>
            </w:r>
          </w:p>
        </w:tc>
        <w:tc>
          <w:tcPr>
            <w:tcW w:w="2192" w:type="dxa"/>
            <w:vAlign w:val="center"/>
          </w:tcPr>
          <w:p w:rsidR="00500C46" w:rsidRPr="00504392" w:rsidRDefault="00500C46" w:rsidP="00F53AA9">
            <w:pPr>
              <w:spacing w:after="0"/>
              <w:rPr>
                <w:rFonts w:ascii="Arial" w:hAnsi="Arial" w:cs="Arial"/>
                <w:color w:val="000000"/>
                <w:sz w:val="18"/>
                <w:szCs w:val="18"/>
              </w:rPr>
            </w:pPr>
            <w:r w:rsidRPr="00504392">
              <w:rPr>
                <w:rFonts w:ascii="Arial" w:hAnsi="Arial" w:cs="Arial"/>
                <w:color w:val="000000"/>
                <w:sz w:val="18"/>
                <w:szCs w:val="18"/>
              </w:rPr>
              <w:t>Vare</w:t>
            </w:r>
          </w:p>
        </w:tc>
        <w:tc>
          <w:tcPr>
            <w:tcW w:w="652" w:type="dxa"/>
          </w:tcPr>
          <w:p w:rsidR="00500C46" w:rsidRDefault="00500C46" w:rsidP="00F53AA9">
            <w:pPr>
              <w:spacing w:after="0"/>
              <w:rPr>
                <w:rFonts w:ascii="Arial" w:hAnsi="Arial" w:cs="Arial"/>
                <w:color w:val="000000"/>
                <w:szCs w:val="20"/>
              </w:rPr>
            </w:pPr>
            <w:r>
              <w:rPr>
                <w:rFonts w:ascii="Arial" w:hAnsi="Arial" w:cs="Arial"/>
                <w:color w:val="000000"/>
                <w:szCs w:val="20"/>
              </w:rPr>
              <w:t>2</w:t>
            </w:r>
          </w:p>
        </w:tc>
      </w:tr>
      <w:tr w:rsidR="00500C46" w:rsidTr="00F53AA9">
        <w:trPr>
          <w:trHeight w:val="300"/>
        </w:trPr>
        <w:tc>
          <w:tcPr>
            <w:tcW w:w="1291" w:type="dxa"/>
            <w:vMerge/>
            <w:vAlign w:val="center"/>
          </w:tcPr>
          <w:p w:rsidR="00500C46" w:rsidRPr="008C1241" w:rsidRDefault="00500C46" w:rsidP="00F53AA9">
            <w:pPr>
              <w:spacing w:after="0"/>
              <w:jc w:val="center"/>
              <w:rPr>
                <w:rFonts w:ascii="Arial" w:hAnsi="Arial" w:cs="Arial"/>
                <w:color w:val="000000"/>
                <w:szCs w:val="20"/>
              </w:rPr>
            </w:pPr>
          </w:p>
        </w:tc>
        <w:tc>
          <w:tcPr>
            <w:tcW w:w="5453" w:type="dxa"/>
            <w:shd w:val="clear" w:color="auto" w:fill="auto"/>
            <w:noWrap/>
            <w:hideMark/>
          </w:tcPr>
          <w:p w:rsidR="00500C46" w:rsidRPr="008C1241" w:rsidRDefault="00500C46" w:rsidP="00F53AA9">
            <w:pPr>
              <w:spacing w:after="0"/>
              <w:rPr>
                <w:rFonts w:ascii="Arial" w:hAnsi="Arial" w:cs="Arial"/>
                <w:color w:val="000000"/>
                <w:sz w:val="16"/>
                <w:szCs w:val="16"/>
              </w:rPr>
            </w:pPr>
            <w:r w:rsidRPr="008C1241">
              <w:rPr>
                <w:rFonts w:ascii="Arial" w:hAnsi="Arial" w:cs="Arial"/>
                <w:color w:val="000000"/>
                <w:sz w:val="16"/>
                <w:szCs w:val="16"/>
              </w:rPr>
              <w:t xml:space="preserve">foretaket introduserte produktinnovasjon i form av nye eller vesentlig forbedrede tjenester i perioden </w:t>
            </w:r>
            <w:r>
              <w:rPr>
                <w:rFonts w:ascii="Arial" w:hAnsi="Arial" w:cs="Arial"/>
                <w:color w:val="000000"/>
                <w:sz w:val="16"/>
                <w:szCs w:val="16"/>
              </w:rPr>
              <w:t>2010-2012</w:t>
            </w:r>
          </w:p>
        </w:tc>
        <w:tc>
          <w:tcPr>
            <w:tcW w:w="2192" w:type="dxa"/>
            <w:vAlign w:val="center"/>
          </w:tcPr>
          <w:p w:rsidR="00500C46" w:rsidRPr="00504392" w:rsidRDefault="00500C46" w:rsidP="00F53AA9">
            <w:pPr>
              <w:spacing w:after="0"/>
              <w:rPr>
                <w:rFonts w:ascii="Arial" w:hAnsi="Arial" w:cs="Arial"/>
                <w:color w:val="000000"/>
                <w:sz w:val="18"/>
                <w:szCs w:val="18"/>
              </w:rPr>
            </w:pPr>
            <w:r w:rsidRPr="00504392">
              <w:rPr>
                <w:rFonts w:ascii="Arial" w:hAnsi="Arial" w:cs="Arial"/>
                <w:color w:val="000000"/>
                <w:sz w:val="18"/>
                <w:szCs w:val="18"/>
              </w:rPr>
              <w:t>Tjeneste</w:t>
            </w:r>
          </w:p>
        </w:tc>
        <w:tc>
          <w:tcPr>
            <w:tcW w:w="652" w:type="dxa"/>
          </w:tcPr>
          <w:p w:rsidR="00500C46" w:rsidRDefault="00500C46" w:rsidP="00F53AA9">
            <w:pPr>
              <w:spacing w:after="0"/>
              <w:rPr>
                <w:rFonts w:ascii="Arial" w:hAnsi="Arial" w:cs="Arial"/>
                <w:color w:val="000000"/>
                <w:szCs w:val="20"/>
              </w:rPr>
            </w:pPr>
            <w:r>
              <w:rPr>
                <w:rFonts w:ascii="Arial" w:hAnsi="Arial" w:cs="Arial"/>
                <w:color w:val="000000"/>
                <w:szCs w:val="20"/>
              </w:rPr>
              <w:t>2</w:t>
            </w:r>
          </w:p>
        </w:tc>
      </w:tr>
      <w:tr w:rsidR="00500C46" w:rsidTr="00F53AA9">
        <w:trPr>
          <w:trHeight w:val="300"/>
        </w:trPr>
        <w:tc>
          <w:tcPr>
            <w:tcW w:w="1291" w:type="dxa"/>
            <w:vMerge/>
            <w:vAlign w:val="center"/>
          </w:tcPr>
          <w:p w:rsidR="00500C46" w:rsidRPr="008C1241" w:rsidRDefault="00500C46" w:rsidP="00F53AA9">
            <w:pPr>
              <w:spacing w:after="0"/>
              <w:jc w:val="center"/>
              <w:rPr>
                <w:rFonts w:ascii="Arial" w:hAnsi="Arial" w:cs="Arial"/>
                <w:color w:val="000000"/>
                <w:szCs w:val="20"/>
              </w:rPr>
            </w:pPr>
          </w:p>
        </w:tc>
        <w:tc>
          <w:tcPr>
            <w:tcW w:w="5453" w:type="dxa"/>
            <w:shd w:val="clear" w:color="auto" w:fill="auto"/>
            <w:noWrap/>
            <w:hideMark/>
          </w:tcPr>
          <w:p w:rsidR="00500C46" w:rsidRPr="008C1241" w:rsidRDefault="00500C46" w:rsidP="00F53AA9">
            <w:pPr>
              <w:spacing w:after="0"/>
              <w:rPr>
                <w:rFonts w:ascii="Arial" w:hAnsi="Arial" w:cs="Arial"/>
                <w:color w:val="000000"/>
                <w:sz w:val="16"/>
                <w:szCs w:val="16"/>
              </w:rPr>
            </w:pPr>
            <w:r w:rsidRPr="008C1241">
              <w:rPr>
                <w:rFonts w:ascii="Arial" w:hAnsi="Arial" w:cs="Arial"/>
                <w:color w:val="000000"/>
                <w:sz w:val="16"/>
                <w:szCs w:val="16"/>
              </w:rPr>
              <w:t xml:space="preserve">foretaket hadde produktinnovasjoner nye for markedet i perioden </w:t>
            </w:r>
            <w:r>
              <w:rPr>
                <w:rFonts w:ascii="Arial" w:hAnsi="Arial" w:cs="Arial"/>
                <w:color w:val="000000"/>
                <w:sz w:val="16"/>
                <w:szCs w:val="16"/>
              </w:rPr>
              <w:t>2010-2012</w:t>
            </w:r>
          </w:p>
        </w:tc>
        <w:tc>
          <w:tcPr>
            <w:tcW w:w="2192" w:type="dxa"/>
            <w:vAlign w:val="center"/>
          </w:tcPr>
          <w:p w:rsidR="00500C46" w:rsidRPr="00504392" w:rsidRDefault="00500C46" w:rsidP="00F53AA9">
            <w:pPr>
              <w:spacing w:after="0"/>
              <w:rPr>
                <w:rFonts w:ascii="Arial" w:hAnsi="Arial" w:cs="Arial"/>
                <w:color w:val="000000"/>
                <w:sz w:val="18"/>
                <w:szCs w:val="18"/>
              </w:rPr>
            </w:pPr>
            <w:r w:rsidRPr="00504392">
              <w:rPr>
                <w:rFonts w:ascii="Arial" w:hAnsi="Arial" w:cs="Arial"/>
                <w:color w:val="000000"/>
                <w:sz w:val="18"/>
                <w:szCs w:val="18"/>
              </w:rPr>
              <w:t>Nytt for markedet</w:t>
            </w:r>
          </w:p>
        </w:tc>
        <w:tc>
          <w:tcPr>
            <w:tcW w:w="652" w:type="dxa"/>
          </w:tcPr>
          <w:p w:rsidR="00500C46" w:rsidRDefault="00500C46" w:rsidP="00F53AA9">
            <w:pPr>
              <w:spacing w:after="0"/>
              <w:rPr>
                <w:rFonts w:ascii="Arial" w:hAnsi="Arial" w:cs="Arial"/>
                <w:color w:val="000000"/>
                <w:szCs w:val="20"/>
              </w:rPr>
            </w:pPr>
            <w:r>
              <w:rPr>
                <w:rFonts w:ascii="Arial" w:hAnsi="Arial" w:cs="Arial"/>
                <w:color w:val="000000"/>
                <w:szCs w:val="20"/>
              </w:rPr>
              <w:t>4</w:t>
            </w:r>
          </w:p>
        </w:tc>
      </w:tr>
      <w:tr w:rsidR="00500C46" w:rsidTr="00F53AA9">
        <w:trPr>
          <w:trHeight w:val="300"/>
        </w:trPr>
        <w:tc>
          <w:tcPr>
            <w:tcW w:w="1291" w:type="dxa"/>
            <w:vMerge/>
            <w:vAlign w:val="center"/>
          </w:tcPr>
          <w:p w:rsidR="00500C46" w:rsidRPr="008C1241" w:rsidRDefault="00500C46" w:rsidP="00F53AA9">
            <w:pPr>
              <w:spacing w:after="0"/>
              <w:jc w:val="center"/>
              <w:rPr>
                <w:rFonts w:ascii="Arial" w:hAnsi="Arial" w:cs="Arial"/>
                <w:color w:val="000000"/>
                <w:szCs w:val="20"/>
              </w:rPr>
            </w:pPr>
          </w:p>
        </w:tc>
        <w:tc>
          <w:tcPr>
            <w:tcW w:w="5453" w:type="dxa"/>
            <w:shd w:val="clear" w:color="auto" w:fill="auto"/>
            <w:noWrap/>
            <w:hideMark/>
          </w:tcPr>
          <w:p w:rsidR="00500C46" w:rsidRPr="008C1241" w:rsidRDefault="00500C46" w:rsidP="00F53AA9">
            <w:pPr>
              <w:spacing w:after="0"/>
              <w:rPr>
                <w:rFonts w:ascii="Arial" w:hAnsi="Arial" w:cs="Arial"/>
                <w:color w:val="000000"/>
                <w:sz w:val="16"/>
                <w:szCs w:val="16"/>
              </w:rPr>
            </w:pPr>
            <w:r w:rsidRPr="008C1241">
              <w:rPr>
                <w:rFonts w:ascii="Arial" w:hAnsi="Arial" w:cs="Arial"/>
                <w:color w:val="000000"/>
                <w:sz w:val="16"/>
                <w:szCs w:val="16"/>
              </w:rPr>
              <w:t xml:space="preserve">foretaket hadde produktinnovasjoner </w:t>
            </w:r>
            <w:r>
              <w:rPr>
                <w:rFonts w:ascii="Arial" w:hAnsi="Arial" w:cs="Arial"/>
                <w:color w:val="000000"/>
                <w:sz w:val="16"/>
                <w:szCs w:val="16"/>
              </w:rPr>
              <w:t>nye for verdensmarkedet</w:t>
            </w:r>
            <w:r w:rsidRPr="008C1241">
              <w:rPr>
                <w:rFonts w:ascii="Arial" w:hAnsi="Arial" w:cs="Arial"/>
                <w:color w:val="000000"/>
                <w:sz w:val="16"/>
                <w:szCs w:val="16"/>
              </w:rPr>
              <w:t xml:space="preserve"> i perioden </w:t>
            </w:r>
            <w:r>
              <w:rPr>
                <w:rFonts w:ascii="Arial" w:hAnsi="Arial" w:cs="Arial"/>
                <w:color w:val="000000"/>
                <w:sz w:val="16"/>
                <w:szCs w:val="16"/>
              </w:rPr>
              <w:t>2010-2012</w:t>
            </w:r>
          </w:p>
        </w:tc>
        <w:tc>
          <w:tcPr>
            <w:tcW w:w="2192" w:type="dxa"/>
            <w:vAlign w:val="center"/>
          </w:tcPr>
          <w:p w:rsidR="00500C46" w:rsidRPr="00504392" w:rsidRDefault="00500C46" w:rsidP="00F53AA9">
            <w:pPr>
              <w:spacing w:after="0"/>
              <w:rPr>
                <w:rFonts w:ascii="Arial" w:hAnsi="Arial" w:cs="Arial"/>
                <w:color w:val="000000"/>
                <w:sz w:val="18"/>
                <w:szCs w:val="18"/>
              </w:rPr>
            </w:pPr>
            <w:r w:rsidRPr="00504392">
              <w:rPr>
                <w:rFonts w:ascii="Arial" w:hAnsi="Arial" w:cs="Arial"/>
                <w:color w:val="000000"/>
                <w:sz w:val="18"/>
                <w:szCs w:val="18"/>
              </w:rPr>
              <w:t>Nytt i verden</w:t>
            </w:r>
          </w:p>
        </w:tc>
        <w:tc>
          <w:tcPr>
            <w:tcW w:w="652" w:type="dxa"/>
          </w:tcPr>
          <w:p w:rsidR="00500C46" w:rsidRDefault="00500C46" w:rsidP="00F53AA9">
            <w:pPr>
              <w:spacing w:after="0"/>
              <w:rPr>
                <w:rFonts w:ascii="Arial" w:hAnsi="Arial" w:cs="Arial"/>
                <w:color w:val="000000"/>
                <w:szCs w:val="20"/>
              </w:rPr>
            </w:pPr>
            <w:r>
              <w:rPr>
                <w:rFonts w:ascii="Arial" w:hAnsi="Arial" w:cs="Arial"/>
                <w:color w:val="000000"/>
                <w:szCs w:val="20"/>
              </w:rPr>
              <w:t>4</w:t>
            </w:r>
          </w:p>
        </w:tc>
      </w:tr>
      <w:tr w:rsidR="00500C46" w:rsidTr="00F53AA9">
        <w:trPr>
          <w:trHeight w:val="300"/>
        </w:trPr>
        <w:tc>
          <w:tcPr>
            <w:tcW w:w="1291" w:type="dxa"/>
            <w:vMerge w:val="restart"/>
            <w:vAlign w:val="center"/>
          </w:tcPr>
          <w:p w:rsidR="00500C46" w:rsidRPr="008C1241" w:rsidRDefault="00500C46" w:rsidP="00F53AA9">
            <w:pPr>
              <w:spacing w:after="0"/>
              <w:jc w:val="center"/>
              <w:rPr>
                <w:rFonts w:ascii="Arial" w:hAnsi="Arial" w:cs="Arial"/>
                <w:szCs w:val="20"/>
              </w:rPr>
            </w:pPr>
            <w:proofErr w:type="spellStart"/>
            <w:r w:rsidRPr="008C1241">
              <w:rPr>
                <w:rFonts w:ascii="Arial" w:hAnsi="Arial" w:cs="Arial"/>
                <w:szCs w:val="20"/>
              </w:rPr>
              <w:t>Prosess-innovasjon</w:t>
            </w:r>
            <w:proofErr w:type="spellEnd"/>
          </w:p>
        </w:tc>
        <w:tc>
          <w:tcPr>
            <w:tcW w:w="5453" w:type="dxa"/>
            <w:shd w:val="clear" w:color="auto" w:fill="auto"/>
            <w:noWrap/>
            <w:hideMark/>
          </w:tcPr>
          <w:p w:rsidR="00500C46" w:rsidRPr="008C1241" w:rsidRDefault="00500C46" w:rsidP="00F53AA9">
            <w:pPr>
              <w:spacing w:after="0"/>
              <w:rPr>
                <w:rFonts w:ascii="Arial" w:hAnsi="Arial" w:cs="Arial"/>
                <w:sz w:val="16"/>
                <w:szCs w:val="16"/>
              </w:rPr>
            </w:pPr>
            <w:r w:rsidRPr="008C1241">
              <w:rPr>
                <w:rFonts w:ascii="Arial" w:hAnsi="Arial" w:cs="Arial"/>
                <w:sz w:val="16"/>
                <w:szCs w:val="16"/>
              </w:rPr>
              <w:t xml:space="preserve">foretaket har introdusert nye eller vesentlig forbedrede metoder for produksjon eller fremstilling av varer og tjenester i </w:t>
            </w:r>
            <w:r>
              <w:rPr>
                <w:rFonts w:ascii="Arial" w:hAnsi="Arial" w:cs="Arial"/>
                <w:color w:val="000000"/>
                <w:sz w:val="16"/>
                <w:szCs w:val="16"/>
              </w:rPr>
              <w:t>2010-2012</w:t>
            </w:r>
          </w:p>
        </w:tc>
        <w:tc>
          <w:tcPr>
            <w:tcW w:w="2192" w:type="dxa"/>
            <w:vAlign w:val="center"/>
          </w:tcPr>
          <w:p w:rsidR="00500C46" w:rsidRPr="00504392" w:rsidRDefault="00500C46" w:rsidP="00F53AA9">
            <w:pPr>
              <w:spacing w:after="0"/>
              <w:rPr>
                <w:rFonts w:ascii="Arial" w:hAnsi="Arial" w:cs="Arial"/>
                <w:sz w:val="18"/>
                <w:szCs w:val="18"/>
              </w:rPr>
            </w:pPr>
            <w:r w:rsidRPr="00504392">
              <w:rPr>
                <w:rFonts w:ascii="Arial" w:hAnsi="Arial" w:cs="Arial"/>
                <w:sz w:val="18"/>
                <w:szCs w:val="18"/>
              </w:rPr>
              <w:t>Metode</w:t>
            </w:r>
          </w:p>
        </w:tc>
        <w:tc>
          <w:tcPr>
            <w:tcW w:w="652" w:type="dxa"/>
          </w:tcPr>
          <w:p w:rsidR="00500C46" w:rsidRDefault="00500C46" w:rsidP="00F53AA9">
            <w:pPr>
              <w:spacing w:after="0"/>
              <w:rPr>
                <w:rFonts w:ascii="Arial" w:hAnsi="Arial" w:cs="Arial"/>
                <w:szCs w:val="20"/>
              </w:rPr>
            </w:pPr>
            <w:r>
              <w:rPr>
                <w:rFonts w:ascii="Arial" w:hAnsi="Arial" w:cs="Arial"/>
                <w:szCs w:val="20"/>
              </w:rPr>
              <w:t>2</w:t>
            </w:r>
          </w:p>
        </w:tc>
      </w:tr>
      <w:tr w:rsidR="00500C46" w:rsidTr="00F53AA9">
        <w:trPr>
          <w:trHeight w:val="300"/>
        </w:trPr>
        <w:tc>
          <w:tcPr>
            <w:tcW w:w="1291" w:type="dxa"/>
            <w:vMerge/>
            <w:vAlign w:val="center"/>
          </w:tcPr>
          <w:p w:rsidR="00500C46" w:rsidRPr="008C1241" w:rsidRDefault="00500C46" w:rsidP="00F53AA9">
            <w:pPr>
              <w:spacing w:after="0"/>
              <w:jc w:val="center"/>
              <w:rPr>
                <w:rFonts w:ascii="Arial" w:hAnsi="Arial" w:cs="Arial"/>
                <w:szCs w:val="20"/>
              </w:rPr>
            </w:pPr>
          </w:p>
        </w:tc>
        <w:tc>
          <w:tcPr>
            <w:tcW w:w="5453" w:type="dxa"/>
            <w:shd w:val="clear" w:color="auto" w:fill="auto"/>
            <w:noWrap/>
            <w:hideMark/>
          </w:tcPr>
          <w:p w:rsidR="00500C46" w:rsidRPr="008C1241" w:rsidRDefault="00500C46" w:rsidP="00F53AA9">
            <w:pPr>
              <w:spacing w:after="0"/>
              <w:rPr>
                <w:rFonts w:ascii="Arial" w:hAnsi="Arial" w:cs="Arial"/>
                <w:sz w:val="16"/>
                <w:szCs w:val="16"/>
              </w:rPr>
            </w:pPr>
            <w:r w:rsidRPr="008C1241">
              <w:rPr>
                <w:rFonts w:ascii="Arial" w:hAnsi="Arial" w:cs="Arial"/>
                <w:sz w:val="16"/>
                <w:szCs w:val="16"/>
              </w:rPr>
              <w:t xml:space="preserve">foretaket har introdusert nye eller vesentlig forbedrede metoder for lagring, levering eller distribusjon av varer og tjenester i </w:t>
            </w:r>
            <w:r>
              <w:rPr>
                <w:rFonts w:ascii="Arial" w:hAnsi="Arial" w:cs="Arial"/>
                <w:color w:val="000000"/>
                <w:sz w:val="16"/>
                <w:szCs w:val="16"/>
              </w:rPr>
              <w:t>2010-2012</w:t>
            </w:r>
          </w:p>
        </w:tc>
        <w:tc>
          <w:tcPr>
            <w:tcW w:w="2192" w:type="dxa"/>
            <w:vAlign w:val="center"/>
          </w:tcPr>
          <w:p w:rsidR="00500C46" w:rsidRPr="00504392" w:rsidRDefault="00500C46" w:rsidP="00F53AA9">
            <w:pPr>
              <w:spacing w:after="0"/>
              <w:rPr>
                <w:rFonts w:ascii="Arial" w:hAnsi="Arial" w:cs="Arial"/>
                <w:sz w:val="18"/>
                <w:szCs w:val="18"/>
              </w:rPr>
            </w:pPr>
            <w:r w:rsidRPr="00504392">
              <w:rPr>
                <w:rFonts w:ascii="Arial" w:hAnsi="Arial" w:cs="Arial"/>
                <w:sz w:val="18"/>
                <w:szCs w:val="18"/>
              </w:rPr>
              <w:t>Distribusjon</w:t>
            </w:r>
          </w:p>
        </w:tc>
        <w:tc>
          <w:tcPr>
            <w:tcW w:w="652" w:type="dxa"/>
          </w:tcPr>
          <w:p w:rsidR="00500C46" w:rsidRDefault="00500C46" w:rsidP="00F53AA9">
            <w:pPr>
              <w:spacing w:after="0"/>
              <w:rPr>
                <w:rFonts w:ascii="Arial" w:hAnsi="Arial" w:cs="Arial"/>
                <w:szCs w:val="20"/>
              </w:rPr>
            </w:pPr>
            <w:r>
              <w:rPr>
                <w:rFonts w:ascii="Arial" w:hAnsi="Arial" w:cs="Arial"/>
                <w:szCs w:val="20"/>
              </w:rPr>
              <w:t>1</w:t>
            </w:r>
          </w:p>
        </w:tc>
      </w:tr>
      <w:tr w:rsidR="00500C46" w:rsidTr="00F53AA9">
        <w:trPr>
          <w:trHeight w:val="300"/>
        </w:trPr>
        <w:tc>
          <w:tcPr>
            <w:tcW w:w="1291" w:type="dxa"/>
            <w:vMerge/>
            <w:vAlign w:val="center"/>
          </w:tcPr>
          <w:p w:rsidR="00500C46" w:rsidRPr="008C1241" w:rsidRDefault="00500C46" w:rsidP="00F53AA9">
            <w:pPr>
              <w:spacing w:after="0"/>
              <w:jc w:val="center"/>
              <w:rPr>
                <w:rFonts w:ascii="Arial" w:hAnsi="Arial" w:cs="Arial"/>
                <w:szCs w:val="20"/>
              </w:rPr>
            </w:pPr>
          </w:p>
        </w:tc>
        <w:tc>
          <w:tcPr>
            <w:tcW w:w="5453" w:type="dxa"/>
            <w:shd w:val="clear" w:color="auto" w:fill="auto"/>
            <w:noWrap/>
            <w:hideMark/>
          </w:tcPr>
          <w:p w:rsidR="00500C46" w:rsidRPr="008C1241" w:rsidRDefault="00500C46" w:rsidP="00F53AA9">
            <w:pPr>
              <w:spacing w:after="0"/>
              <w:rPr>
                <w:rFonts w:ascii="Arial" w:hAnsi="Arial" w:cs="Arial"/>
                <w:sz w:val="16"/>
                <w:szCs w:val="16"/>
              </w:rPr>
            </w:pPr>
            <w:r w:rsidRPr="008C1241">
              <w:rPr>
                <w:rFonts w:ascii="Arial" w:hAnsi="Arial" w:cs="Arial"/>
                <w:sz w:val="16"/>
                <w:szCs w:val="16"/>
              </w:rPr>
              <w:t xml:space="preserve">foretaket har introdusert nye eller vesentlig støttefunksjoner, som systemer for vedlikehold, innkjøp, regnskap eller IT i </w:t>
            </w:r>
            <w:r>
              <w:rPr>
                <w:rFonts w:ascii="Arial" w:hAnsi="Arial" w:cs="Arial"/>
                <w:color w:val="000000"/>
                <w:sz w:val="16"/>
                <w:szCs w:val="16"/>
              </w:rPr>
              <w:t>2010-2012</w:t>
            </w:r>
          </w:p>
        </w:tc>
        <w:tc>
          <w:tcPr>
            <w:tcW w:w="2192" w:type="dxa"/>
            <w:vAlign w:val="center"/>
          </w:tcPr>
          <w:p w:rsidR="00500C46" w:rsidRPr="00504392" w:rsidRDefault="00500C46" w:rsidP="00F53AA9">
            <w:pPr>
              <w:spacing w:after="0"/>
              <w:rPr>
                <w:rFonts w:ascii="Arial" w:hAnsi="Arial" w:cs="Arial"/>
                <w:sz w:val="18"/>
                <w:szCs w:val="18"/>
              </w:rPr>
            </w:pPr>
            <w:r w:rsidRPr="00504392">
              <w:rPr>
                <w:rFonts w:ascii="Arial" w:hAnsi="Arial" w:cs="Arial"/>
                <w:sz w:val="18"/>
                <w:szCs w:val="18"/>
              </w:rPr>
              <w:t>Støttefunksjon</w:t>
            </w:r>
          </w:p>
        </w:tc>
        <w:tc>
          <w:tcPr>
            <w:tcW w:w="652" w:type="dxa"/>
          </w:tcPr>
          <w:p w:rsidR="00500C46" w:rsidRDefault="00500C46" w:rsidP="00F53AA9">
            <w:pPr>
              <w:spacing w:after="0"/>
              <w:rPr>
                <w:rFonts w:ascii="Arial" w:hAnsi="Arial" w:cs="Arial"/>
                <w:szCs w:val="20"/>
              </w:rPr>
            </w:pPr>
            <w:r>
              <w:rPr>
                <w:rFonts w:ascii="Arial" w:hAnsi="Arial" w:cs="Arial"/>
                <w:szCs w:val="20"/>
              </w:rPr>
              <w:t>1</w:t>
            </w:r>
          </w:p>
        </w:tc>
      </w:tr>
      <w:tr w:rsidR="00500C46" w:rsidTr="00F53AA9">
        <w:trPr>
          <w:trHeight w:val="300"/>
        </w:trPr>
        <w:tc>
          <w:tcPr>
            <w:tcW w:w="1291" w:type="dxa"/>
            <w:vMerge/>
            <w:vAlign w:val="center"/>
          </w:tcPr>
          <w:p w:rsidR="00500C46" w:rsidRPr="008C1241" w:rsidRDefault="00500C46" w:rsidP="00F53AA9">
            <w:pPr>
              <w:spacing w:after="0"/>
              <w:jc w:val="center"/>
              <w:rPr>
                <w:rFonts w:ascii="Arial" w:hAnsi="Arial" w:cs="Arial"/>
                <w:szCs w:val="20"/>
              </w:rPr>
            </w:pPr>
          </w:p>
        </w:tc>
        <w:tc>
          <w:tcPr>
            <w:tcW w:w="5453" w:type="dxa"/>
            <w:shd w:val="clear" w:color="auto" w:fill="auto"/>
            <w:noWrap/>
          </w:tcPr>
          <w:p w:rsidR="00500C46" w:rsidRPr="008C1241" w:rsidRDefault="00500C46" w:rsidP="00F53AA9">
            <w:pPr>
              <w:spacing w:after="0"/>
              <w:rPr>
                <w:rFonts w:ascii="Arial" w:hAnsi="Arial" w:cs="Arial"/>
                <w:sz w:val="16"/>
                <w:szCs w:val="16"/>
              </w:rPr>
            </w:pPr>
            <w:r w:rsidRPr="00504392">
              <w:rPr>
                <w:rFonts w:ascii="Arial" w:hAnsi="Arial" w:cs="Arial"/>
                <w:sz w:val="16"/>
                <w:szCs w:val="16"/>
              </w:rPr>
              <w:t>noen av prosessinnovasjonene introdusert i perioden 2010-2012 var nye for foretakets marked</w:t>
            </w:r>
          </w:p>
        </w:tc>
        <w:tc>
          <w:tcPr>
            <w:tcW w:w="2192" w:type="dxa"/>
            <w:vAlign w:val="center"/>
          </w:tcPr>
          <w:p w:rsidR="00500C46" w:rsidRPr="00504392" w:rsidRDefault="00500C46" w:rsidP="00F53AA9">
            <w:pPr>
              <w:spacing w:after="0"/>
              <w:rPr>
                <w:rFonts w:ascii="Arial" w:hAnsi="Arial" w:cs="Arial"/>
                <w:sz w:val="18"/>
                <w:szCs w:val="18"/>
              </w:rPr>
            </w:pPr>
            <w:r w:rsidRPr="00504392">
              <w:rPr>
                <w:rFonts w:ascii="Arial" w:hAnsi="Arial" w:cs="Arial"/>
                <w:sz w:val="18"/>
                <w:szCs w:val="18"/>
              </w:rPr>
              <w:t>Ny metode for markedet</w:t>
            </w:r>
          </w:p>
        </w:tc>
        <w:tc>
          <w:tcPr>
            <w:tcW w:w="652" w:type="dxa"/>
          </w:tcPr>
          <w:p w:rsidR="00500C46" w:rsidRDefault="00500C46" w:rsidP="00F53AA9">
            <w:pPr>
              <w:spacing w:after="0"/>
              <w:rPr>
                <w:rFonts w:ascii="Arial" w:hAnsi="Arial" w:cs="Arial"/>
                <w:szCs w:val="20"/>
              </w:rPr>
            </w:pPr>
            <w:r>
              <w:rPr>
                <w:rFonts w:ascii="Arial" w:hAnsi="Arial" w:cs="Arial"/>
                <w:szCs w:val="20"/>
              </w:rPr>
              <w:t>3</w:t>
            </w:r>
          </w:p>
        </w:tc>
      </w:tr>
      <w:tr w:rsidR="00500C46" w:rsidTr="00F53AA9">
        <w:trPr>
          <w:trHeight w:val="300"/>
        </w:trPr>
        <w:tc>
          <w:tcPr>
            <w:tcW w:w="1291" w:type="dxa"/>
            <w:vMerge w:val="restart"/>
            <w:vAlign w:val="center"/>
          </w:tcPr>
          <w:p w:rsidR="00500C46" w:rsidRPr="008C1241" w:rsidRDefault="00500C46" w:rsidP="00F53AA9">
            <w:pPr>
              <w:spacing w:after="0"/>
              <w:jc w:val="center"/>
              <w:rPr>
                <w:rFonts w:ascii="Arial" w:hAnsi="Arial" w:cs="Arial"/>
                <w:szCs w:val="20"/>
              </w:rPr>
            </w:pPr>
            <w:proofErr w:type="spellStart"/>
            <w:r w:rsidRPr="008C1241">
              <w:rPr>
                <w:rFonts w:ascii="Arial" w:hAnsi="Arial" w:cs="Arial"/>
                <w:szCs w:val="20"/>
              </w:rPr>
              <w:t>Markeds-innovasjon</w:t>
            </w:r>
            <w:proofErr w:type="spellEnd"/>
          </w:p>
        </w:tc>
        <w:tc>
          <w:tcPr>
            <w:tcW w:w="5453" w:type="dxa"/>
            <w:shd w:val="clear" w:color="auto" w:fill="auto"/>
            <w:noWrap/>
            <w:hideMark/>
          </w:tcPr>
          <w:p w:rsidR="00500C46" w:rsidRPr="008C1241" w:rsidRDefault="00500C46" w:rsidP="00F53AA9">
            <w:pPr>
              <w:spacing w:after="0"/>
              <w:rPr>
                <w:rFonts w:ascii="Arial" w:hAnsi="Arial" w:cs="Arial"/>
                <w:sz w:val="16"/>
                <w:szCs w:val="16"/>
              </w:rPr>
            </w:pPr>
            <w:r w:rsidRPr="008C1241">
              <w:rPr>
                <w:rFonts w:ascii="Arial" w:hAnsi="Arial" w:cs="Arial"/>
                <w:sz w:val="16"/>
                <w:szCs w:val="16"/>
              </w:rPr>
              <w:t xml:space="preserve">foretaket i </w:t>
            </w:r>
            <w:r>
              <w:rPr>
                <w:rFonts w:ascii="Arial" w:hAnsi="Arial" w:cs="Arial"/>
                <w:color w:val="000000"/>
                <w:sz w:val="16"/>
                <w:szCs w:val="16"/>
              </w:rPr>
              <w:t>2010-2012</w:t>
            </w:r>
            <w:r w:rsidRPr="008C1241">
              <w:rPr>
                <w:rFonts w:ascii="Arial" w:hAnsi="Arial" w:cs="Arial"/>
                <w:sz w:val="16"/>
                <w:szCs w:val="16"/>
              </w:rPr>
              <w:t>introduserte markedsinnovasjoner i form av: vesentlige endringer i design (utseende/utformi</w:t>
            </w:r>
            <w:r>
              <w:rPr>
                <w:rFonts w:ascii="Arial" w:hAnsi="Arial" w:cs="Arial"/>
                <w:sz w:val="16"/>
                <w:szCs w:val="16"/>
              </w:rPr>
              <w:t>n</w:t>
            </w:r>
            <w:r w:rsidRPr="008C1241">
              <w:rPr>
                <w:rFonts w:ascii="Arial" w:hAnsi="Arial" w:cs="Arial"/>
                <w:sz w:val="16"/>
                <w:szCs w:val="16"/>
              </w:rPr>
              <w:t>g) av en vare eller tjeneste</w:t>
            </w:r>
          </w:p>
        </w:tc>
        <w:tc>
          <w:tcPr>
            <w:tcW w:w="2192" w:type="dxa"/>
            <w:vAlign w:val="center"/>
          </w:tcPr>
          <w:p w:rsidR="00500C46" w:rsidRPr="00504392" w:rsidRDefault="00500C46" w:rsidP="00F53AA9">
            <w:pPr>
              <w:spacing w:after="0"/>
              <w:rPr>
                <w:rFonts w:ascii="Arial" w:hAnsi="Arial" w:cs="Arial"/>
                <w:color w:val="000000"/>
                <w:sz w:val="18"/>
                <w:szCs w:val="18"/>
              </w:rPr>
            </w:pPr>
            <w:r w:rsidRPr="00504392">
              <w:rPr>
                <w:rFonts w:ascii="Arial" w:hAnsi="Arial" w:cs="Arial"/>
                <w:color w:val="000000"/>
                <w:sz w:val="18"/>
                <w:szCs w:val="18"/>
              </w:rPr>
              <w:t>Design</w:t>
            </w:r>
          </w:p>
        </w:tc>
        <w:tc>
          <w:tcPr>
            <w:tcW w:w="652" w:type="dxa"/>
          </w:tcPr>
          <w:p w:rsidR="00500C46" w:rsidRDefault="00500C46" w:rsidP="00F53AA9">
            <w:pPr>
              <w:spacing w:after="0"/>
              <w:rPr>
                <w:rFonts w:ascii="Arial" w:hAnsi="Arial" w:cs="Arial"/>
                <w:szCs w:val="20"/>
              </w:rPr>
            </w:pPr>
            <w:r>
              <w:rPr>
                <w:rFonts w:ascii="Arial" w:hAnsi="Arial" w:cs="Arial"/>
                <w:szCs w:val="20"/>
              </w:rPr>
              <w:t>2</w:t>
            </w:r>
          </w:p>
        </w:tc>
      </w:tr>
      <w:tr w:rsidR="00500C46" w:rsidTr="00F53AA9">
        <w:trPr>
          <w:trHeight w:val="300"/>
        </w:trPr>
        <w:tc>
          <w:tcPr>
            <w:tcW w:w="1291" w:type="dxa"/>
            <w:vMerge/>
          </w:tcPr>
          <w:p w:rsidR="00500C46" w:rsidRPr="008C1241" w:rsidRDefault="00500C46" w:rsidP="00F53AA9">
            <w:pPr>
              <w:spacing w:after="0"/>
              <w:rPr>
                <w:rFonts w:ascii="Arial" w:hAnsi="Arial" w:cs="Arial"/>
                <w:sz w:val="16"/>
                <w:szCs w:val="16"/>
              </w:rPr>
            </w:pPr>
          </w:p>
        </w:tc>
        <w:tc>
          <w:tcPr>
            <w:tcW w:w="5453" w:type="dxa"/>
            <w:shd w:val="clear" w:color="auto" w:fill="auto"/>
            <w:noWrap/>
            <w:hideMark/>
          </w:tcPr>
          <w:p w:rsidR="00500C46" w:rsidRPr="008C1241" w:rsidRDefault="00500C46" w:rsidP="00F53AA9">
            <w:pPr>
              <w:spacing w:after="0"/>
              <w:rPr>
                <w:rFonts w:ascii="Arial" w:hAnsi="Arial" w:cs="Arial"/>
                <w:sz w:val="16"/>
                <w:szCs w:val="16"/>
              </w:rPr>
            </w:pPr>
            <w:r w:rsidRPr="008C1241">
              <w:rPr>
                <w:rFonts w:ascii="Arial" w:hAnsi="Arial" w:cs="Arial"/>
                <w:sz w:val="16"/>
                <w:szCs w:val="16"/>
              </w:rPr>
              <w:t xml:space="preserve">foretaket i </w:t>
            </w:r>
            <w:r>
              <w:rPr>
                <w:rFonts w:ascii="Arial" w:hAnsi="Arial" w:cs="Arial"/>
                <w:color w:val="000000"/>
                <w:sz w:val="16"/>
                <w:szCs w:val="16"/>
              </w:rPr>
              <w:t>2010-2012</w:t>
            </w:r>
            <w:r w:rsidRPr="008C1241">
              <w:rPr>
                <w:rFonts w:ascii="Arial" w:hAnsi="Arial" w:cs="Arial"/>
                <w:sz w:val="16"/>
                <w:szCs w:val="16"/>
              </w:rPr>
              <w:t>introduserte markedsinnovasjoner i form av: nye media eller nye måter for promotering av produktet</w:t>
            </w:r>
          </w:p>
        </w:tc>
        <w:tc>
          <w:tcPr>
            <w:tcW w:w="2192" w:type="dxa"/>
            <w:vAlign w:val="center"/>
          </w:tcPr>
          <w:p w:rsidR="00500C46" w:rsidRPr="00504392" w:rsidRDefault="00500C46" w:rsidP="00F53AA9">
            <w:pPr>
              <w:spacing w:after="0"/>
              <w:rPr>
                <w:rFonts w:ascii="Arial" w:hAnsi="Arial" w:cs="Arial"/>
                <w:sz w:val="18"/>
                <w:szCs w:val="18"/>
              </w:rPr>
            </w:pPr>
            <w:r w:rsidRPr="00504392">
              <w:rPr>
                <w:rFonts w:ascii="Arial" w:hAnsi="Arial" w:cs="Arial"/>
                <w:sz w:val="18"/>
                <w:szCs w:val="18"/>
              </w:rPr>
              <w:t>Media</w:t>
            </w:r>
          </w:p>
        </w:tc>
        <w:tc>
          <w:tcPr>
            <w:tcW w:w="652" w:type="dxa"/>
          </w:tcPr>
          <w:p w:rsidR="00500C46" w:rsidRDefault="00500C46" w:rsidP="00F53AA9">
            <w:pPr>
              <w:spacing w:after="0"/>
              <w:rPr>
                <w:rFonts w:ascii="Arial" w:hAnsi="Arial" w:cs="Arial"/>
                <w:szCs w:val="20"/>
              </w:rPr>
            </w:pPr>
            <w:r>
              <w:rPr>
                <w:rFonts w:ascii="Arial" w:hAnsi="Arial" w:cs="Arial"/>
                <w:szCs w:val="20"/>
              </w:rPr>
              <w:t>1</w:t>
            </w:r>
          </w:p>
        </w:tc>
      </w:tr>
      <w:tr w:rsidR="00500C46" w:rsidTr="00F53AA9">
        <w:trPr>
          <w:trHeight w:val="300"/>
        </w:trPr>
        <w:tc>
          <w:tcPr>
            <w:tcW w:w="1291" w:type="dxa"/>
            <w:vMerge/>
          </w:tcPr>
          <w:p w:rsidR="00500C46" w:rsidRPr="008C1241" w:rsidRDefault="00500C46" w:rsidP="00F53AA9">
            <w:pPr>
              <w:spacing w:after="0"/>
              <w:rPr>
                <w:rFonts w:ascii="Arial" w:hAnsi="Arial" w:cs="Arial"/>
                <w:sz w:val="16"/>
                <w:szCs w:val="16"/>
              </w:rPr>
            </w:pPr>
          </w:p>
        </w:tc>
        <w:tc>
          <w:tcPr>
            <w:tcW w:w="5453" w:type="dxa"/>
            <w:shd w:val="clear" w:color="auto" w:fill="auto"/>
            <w:noWrap/>
            <w:hideMark/>
          </w:tcPr>
          <w:p w:rsidR="00500C46" w:rsidRPr="008C1241" w:rsidRDefault="00500C46" w:rsidP="00F53AA9">
            <w:pPr>
              <w:spacing w:after="0"/>
              <w:rPr>
                <w:rFonts w:ascii="Arial" w:hAnsi="Arial" w:cs="Arial"/>
                <w:sz w:val="16"/>
                <w:szCs w:val="16"/>
              </w:rPr>
            </w:pPr>
            <w:r w:rsidRPr="008C1241">
              <w:rPr>
                <w:rFonts w:ascii="Arial" w:hAnsi="Arial" w:cs="Arial"/>
                <w:sz w:val="16"/>
                <w:szCs w:val="16"/>
              </w:rPr>
              <w:t xml:space="preserve">foretaket i </w:t>
            </w:r>
            <w:r>
              <w:rPr>
                <w:rFonts w:ascii="Arial" w:hAnsi="Arial" w:cs="Arial"/>
                <w:color w:val="000000"/>
                <w:sz w:val="16"/>
                <w:szCs w:val="16"/>
              </w:rPr>
              <w:t>2010-2012</w:t>
            </w:r>
            <w:r w:rsidRPr="008C1241">
              <w:rPr>
                <w:rFonts w:ascii="Arial" w:hAnsi="Arial" w:cs="Arial"/>
                <w:sz w:val="16"/>
                <w:szCs w:val="16"/>
              </w:rPr>
              <w:t>introduserte markedsinnovasjoner i form av: nye måter for produktplassering eller salgskanaler</w:t>
            </w:r>
          </w:p>
        </w:tc>
        <w:tc>
          <w:tcPr>
            <w:tcW w:w="2192" w:type="dxa"/>
            <w:vAlign w:val="center"/>
          </w:tcPr>
          <w:p w:rsidR="00500C46" w:rsidRPr="00504392" w:rsidRDefault="00500C46" w:rsidP="00F53AA9">
            <w:pPr>
              <w:spacing w:after="0"/>
              <w:rPr>
                <w:rFonts w:ascii="Arial" w:hAnsi="Arial" w:cs="Arial"/>
                <w:sz w:val="18"/>
                <w:szCs w:val="18"/>
              </w:rPr>
            </w:pPr>
            <w:r w:rsidRPr="00504392">
              <w:rPr>
                <w:rFonts w:ascii="Arial" w:hAnsi="Arial" w:cs="Arial"/>
                <w:sz w:val="18"/>
                <w:szCs w:val="18"/>
              </w:rPr>
              <w:t>Markedskanal</w:t>
            </w:r>
          </w:p>
        </w:tc>
        <w:tc>
          <w:tcPr>
            <w:tcW w:w="652" w:type="dxa"/>
          </w:tcPr>
          <w:p w:rsidR="00500C46" w:rsidRDefault="00500C46" w:rsidP="00F53AA9">
            <w:pPr>
              <w:spacing w:after="0"/>
              <w:rPr>
                <w:rFonts w:ascii="Arial" w:hAnsi="Arial" w:cs="Arial"/>
                <w:szCs w:val="20"/>
              </w:rPr>
            </w:pPr>
            <w:r>
              <w:rPr>
                <w:rFonts w:ascii="Arial" w:hAnsi="Arial" w:cs="Arial"/>
                <w:szCs w:val="20"/>
              </w:rPr>
              <w:t>0,5</w:t>
            </w:r>
          </w:p>
        </w:tc>
      </w:tr>
      <w:tr w:rsidR="00500C46" w:rsidTr="00F53AA9">
        <w:trPr>
          <w:trHeight w:val="300"/>
        </w:trPr>
        <w:tc>
          <w:tcPr>
            <w:tcW w:w="1291" w:type="dxa"/>
            <w:vMerge/>
          </w:tcPr>
          <w:p w:rsidR="00500C46" w:rsidRPr="008C1241" w:rsidRDefault="00500C46" w:rsidP="00F53AA9">
            <w:pPr>
              <w:spacing w:after="0"/>
              <w:rPr>
                <w:rFonts w:ascii="Arial" w:hAnsi="Arial" w:cs="Arial"/>
                <w:sz w:val="16"/>
                <w:szCs w:val="16"/>
              </w:rPr>
            </w:pPr>
          </w:p>
        </w:tc>
        <w:tc>
          <w:tcPr>
            <w:tcW w:w="5453" w:type="dxa"/>
            <w:shd w:val="clear" w:color="auto" w:fill="auto"/>
            <w:noWrap/>
            <w:hideMark/>
          </w:tcPr>
          <w:p w:rsidR="00500C46" w:rsidRPr="008C1241" w:rsidRDefault="00500C46" w:rsidP="00F53AA9">
            <w:pPr>
              <w:spacing w:after="0"/>
              <w:rPr>
                <w:rFonts w:ascii="Arial" w:hAnsi="Arial" w:cs="Arial"/>
                <w:sz w:val="16"/>
                <w:szCs w:val="16"/>
              </w:rPr>
            </w:pPr>
            <w:r w:rsidRPr="008C1241">
              <w:rPr>
                <w:rFonts w:ascii="Arial" w:hAnsi="Arial" w:cs="Arial"/>
                <w:sz w:val="16"/>
                <w:szCs w:val="16"/>
              </w:rPr>
              <w:t xml:space="preserve">foretaket i </w:t>
            </w:r>
            <w:r>
              <w:rPr>
                <w:rFonts w:ascii="Arial" w:hAnsi="Arial" w:cs="Arial"/>
                <w:color w:val="000000"/>
                <w:sz w:val="16"/>
                <w:szCs w:val="16"/>
              </w:rPr>
              <w:t>2010-2012</w:t>
            </w:r>
            <w:r w:rsidRPr="008C1241">
              <w:rPr>
                <w:rFonts w:ascii="Arial" w:hAnsi="Arial" w:cs="Arial"/>
                <w:sz w:val="16"/>
                <w:szCs w:val="16"/>
              </w:rPr>
              <w:t>introduserte markedsinnovasjoner i form av: nye metoder for prising</w:t>
            </w:r>
          </w:p>
        </w:tc>
        <w:tc>
          <w:tcPr>
            <w:tcW w:w="2192" w:type="dxa"/>
            <w:vAlign w:val="center"/>
          </w:tcPr>
          <w:p w:rsidR="00500C46" w:rsidRPr="00504392" w:rsidRDefault="00500C46" w:rsidP="00F53AA9">
            <w:pPr>
              <w:spacing w:after="0"/>
              <w:rPr>
                <w:rFonts w:ascii="Arial" w:hAnsi="Arial" w:cs="Arial"/>
                <w:sz w:val="18"/>
                <w:szCs w:val="18"/>
              </w:rPr>
            </w:pPr>
            <w:r w:rsidRPr="00504392">
              <w:rPr>
                <w:rFonts w:ascii="Arial" w:hAnsi="Arial" w:cs="Arial"/>
                <w:sz w:val="18"/>
                <w:szCs w:val="18"/>
              </w:rPr>
              <w:t>Prising</w:t>
            </w:r>
          </w:p>
        </w:tc>
        <w:tc>
          <w:tcPr>
            <w:tcW w:w="652" w:type="dxa"/>
          </w:tcPr>
          <w:p w:rsidR="00500C46" w:rsidRDefault="00500C46" w:rsidP="00F53AA9">
            <w:pPr>
              <w:spacing w:after="0"/>
              <w:rPr>
                <w:rFonts w:ascii="Arial" w:hAnsi="Arial" w:cs="Arial"/>
                <w:szCs w:val="20"/>
              </w:rPr>
            </w:pPr>
            <w:r>
              <w:rPr>
                <w:rFonts w:ascii="Arial" w:hAnsi="Arial" w:cs="Arial"/>
                <w:szCs w:val="20"/>
              </w:rPr>
              <w:t>0,5</w:t>
            </w:r>
          </w:p>
        </w:tc>
      </w:tr>
    </w:tbl>
    <w:p w:rsidR="00500C46" w:rsidRDefault="00500C46" w:rsidP="00500C46"/>
    <w:p w:rsidR="00500C46" w:rsidRDefault="00500C46" w:rsidP="00500C46">
      <w:r>
        <w:t xml:space="preserve">I tabellen over ser vi de spørsmålene som danner grunnlag for indikatorer for innovasjon i regioner og fylker. De er samlet i tre typer av innovasjon: Produktinnovasjon, prosessinnovasjon og markedsinnovasjon. Det er også definert vekter for hvert av spørsmålene, som vi bruker når vi skal lage en samlet indeks for innovasjon. Vektingen er skjønnsmessig, og baserer seg på at noen av spørsmålene intuitivt virker å være viktigere enn andre. Spørsmål om produktinnovasjoner er nye for markedet og om produktinnovasjonene er nye for verdensmarkedet er tillagt størst vekt. Spørsmål om nye måter for produktplassering eller nye metoder for prising er gitt lavest vekt. </w:t>
      </w:r>
    </w:p>
    <w:p w:rsidR="00271572" w:rsidRDefault="00271572">
      <w:pPr>
        <w:spacing w:after="0" w:line="240" w:lineRule="auto"/>
      </w:pPr>
      <w:r>
        <w:br w:type="page"/>
      </w:r>
    </w:p>
    <w:p w:rsidR="00500C46" w:rsidRDefault="00500C46" w:rsidP="00DC0D02">
      <w:pPr>
        <w:pStyle w:val="Overskrift2"/>
        <w:spacing w:before="0" w:after="0"/>
      </w:pPr>
      <w:bookmarkStart w:id="70" w:name="_Toc376866151"/>
      <w:r>
        <w:lastRenderedPageBreak/>
        <w:t>Innovasjonsfrekvens</w:t>
      </w:r>
      <w:bookmarkEnd w:id="70"/>
    </w:p>
    <w:p w:rsidR="00500C46" w:rsidRDefault="00500C46" w:rsidP="00DC0D02">
      <w:pPr>
        <w:spacing w:after="0"/>
      </w:pPr>
      <w:r>
        <w:t>Den enkleste og mest direkte metoden å måle regional innovasjon på er å se på andelen, eller frekvensen, av bedrifter som oppgir å ha gjennomført innovasjoner av de 12 ulike typer, basert på de 12 spørsmålene i tabellen på forrige side.</w:t>
      </w:r>
    </w:p>
    <w:p w:rsidR="003D281F" w:rsidRPr="003D281F" w:rsidRDefault="00500C46" w:rsidP="00DC0D02">
      <w:pPr>
        <w:pStyle w:val="Bildetekst"/>
        <w:keepNext/>
        <w:spacing w:before="120"/>
      </w:pPr>
      <w:r>
        <w:t xml:space="preserve">Tabell </w:t>
      </w:r>
      <w:r w:rsidR="004B3D9E">
        <w:fldChar w:fldCharType="begin"/>
      </w:r>
      <w:r>
        <w:instrText xml:space="preserve"> SEQ Tabell \* ARABIC </w:instrText>
      </w:r>
      <w:r w:rsidR="004B3D9E">
        <w:fldChar w:fldCharType="separate"/>
      </w:r>
      <w:r w:rsidR="00CD5BFF">
        <w:rPr>
          <w:noProof/>
        </w:rPr>
        <w:t>10</w:t>
      </w:r>
      <w:r w:rsidR="004B3D9E">
        <w:rPr>
          <w:noProof/>
        </w:rPr>
        <w:fldChar w:fldCharType="end"/>
      </w:r>
      <w:r>
        <w:t>: Prosentvis andel av bedriftene som oppgir ulike typer av innovasjon.</w:t>
      </w:r>
      <w:r w:rsidR="00F53AA9">
        <w:t xml:space="preserve"> Kolonnen «N» viser antall bedrifter. </w:t>
      </w:r>
      <w:r w:rsidR="00597A0E">
        <w:t xml:space="preserve">Siste kolonne, «Innovasjonsgrad», viser en vektet sum. Rangering mht. vektet sum. </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tblPr>
      <w:tblGrid>
        <w:gridCol w:w="382"/>
        <w:gridCol w:w="1914"/>
        <w:gridCol w:w="674"/>
        <w:gridCol w:w="508"/>
        <w:gridCol w:w="508"/>
        <w:gridCol w:w="508"/>
        <w:gridCol w:w="508"/>
        <w:gridCol w:w="508"/>
        <w:gridCol w:w="508"/>
        <w:gridCol w:w="572"/>
        <w:gridCol w:w="508"/>
        <w:gridCol w:w="508"/>
        <w:gridCol w:w="508"/>
        <w:gridCol w:w="572"/>
        <w:gridCol w:w="508"/>
        <w:gridCol w:w="692"/>
      </w:tblGrid>
      <w:tr w:rsidR="00AC4501" w:rsidRPr="00687F25" w:rsidTr="00DC0D02">
        <w:trPr>
          <w:cantSplit/>
          <w:trHeight w:val="227"/>
        </w:trPr>
        <w:tc>
          <w:tcPr>
            <w:tcW w:w="197" w:type="pct"/>
            <w:shd w:val="clear" w:color="DDEBF7" w:fill="DDEBF7"/>
            <w:noWrap/>
            <w:textDirection w:val="btLr"/>
            <w:vAlign w:val="center"/>
          </w:tcPr>
          <w:p w:rsidR="00AC4501" w:rsidRPr="00687F25" w:rsidRDefault="00AC4501" w:rsidP="00687F25">
            <w:pPr>
              <w:spacing w:after="0" w:line="240" w:lineRule="auto"/>
              <w:ind w:left="113" w:right="113"/>
              <w:rPr>
                <w:rFonts w:ascii="Arial" w:eastAsia="Times New Roman" w:hAnsi="Arial" w:cs="Arial"/>
                <w:b/>
                <w:bCs/>
                <w:color w:val="000000"/>
                <w:sz w:val="18"/>
                <w:szCs w:val="18"/>
                <w:lang w:eastAsia="nb-NO"/>
              </w:rPr>
            </w:pPr>
          </w:p>
        </w:tc>
        <w:tc>
          <w:tcPr>
            <w:tcW w:w="972" w:type="pct"/>
            <w:shd w:val="clear" w:color="DDEBF7" w:fill="DDEBF7"/>
            <w:noWrap/>
            <w:vAlign w:val="center"/>
          </w:tcPr>
          <w:p w:rsidR="00AC4501" w:rsidRPr="00687F25" w:rsidRDefault="00AC4501" w:rsidP="00687F25">
            <w:pPr>
              <w:spacing w:after="0" w:line="240" w:lineRule="auto"/>
              <w:rPr>
                <w:rFonts w:ascii="Arial" w:eastAsia="Times New Roman" w:hAnsi="Arial" w:cs="Arial"/>
                <w:b/>
                <w:bCs/>
                <w:color w:val="000000"/>
                <w:sz w:val="18"/>
                <w:szCs w:val="18"/>
                <w:lang w:eastAsia="nb-NO"/>
              </w:rPr>
            </w:pPr>
          </w:p>
        </w:tc>
        <w:tc>
          <w:tcPr>
            <w:tcW w:w="345" w:type="pct"/>
            <w:shd w:val="clear" w:color="auto" w:fill="auto"/>
            <w:noWrap/>
            <w:vAlign w:val="center"/>
          </w:tcPr>
          <w:p w:rsidR="00AC4501" w:rsidRPr="00687F25" w:rsidRDefault="00AC4501" w:rsidP="00687F25">
            <w:pPr>
              <w:spacing w:after="0" w:line="240" w:lineRule="auto"/>
              <w:ind w:left="57"/>
              <w:rPr>
                <w:rFonts w:ascii="Arial" w:eastAsia="Times New Roman" w:hAnsi="Arial" w:cs="Arial"/>
                <w:color w:val="000000"/>
                <w:sz w:val="18"/>
                <w:szCs w:val="18"/>
                <w:lang w:eastAsia="nb-NO"/>
              </w:rPr>
            </w:pPr>
          </w:p>
        </w:tc>
        <w:tc>
          <w:tcPr>
            <w:tcW w:w="1044" w:type="pct"/>
            <w:gridSpan w:val="4"/>
            <w:shd w:val="clear" w:color="auto" w:fill="D9D9D9" w:themeFill="background1" w:themeFillShade="D9"/>
            <w:noWrap/>
            <w:vAlign w:val="center"/>
          </w:tcPr>
          <w:p w:rsidR="00AC4501" w:rsidRPr="00687F25" w:rsidRDefault="00DC0D02" w:rsidP="00DC0D02">
            <w:pPr>
              <w:spacing w:after="0" w:line="240" w:lineRule="auto"/>
              <w:jc w:val="center"/>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Produkt</w:t>
            </w:r>
          </w:p>
        </w:tc>
        <w:tc>
          <w:tcPr>
            <w:tcW w:w="1044" w:type="pct"/>
            <w:gridSpan w:val="4"/>
            <w:shd w:val="clear" w:color="auto" w:fill="D9D9D9" w:themeFill="background1" w:themeFillShade="D9"/>
            <w:noWrap/>
            <w:vAlign w:val="center"/>
          </w:tcPr>
          <w:p w:rsidR="00AC4501" w:rsidRPr="00687F25" w:rsidRDefault="00AC4501" w:rsidP="00DC0D02">
            <w:pPr>
              <w:spacing w:after="0" w:line="240" w:lineRule="auto"/>
              <w:jc w:val="center"/>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P</w:t>
            </w:r>
            <w:r w:rsidR="00DC0D02">
              <w:rPr>
                <w:rFonts w:ascii="Arial" w:eastAsia="Times New Roman" w:hAnsi="Arial" w:cs="Arial"/>
                <w:color w:val="000000"/>
                <w:sz w:val="18"/>
                <w:szCs w:val="18"/>
                <w:lang w:eastAsia="nb-NO"/>
              </w:rPr>
              <w:t>rosess</w:t>
            </w:r>
          </w:p>
        </w:tc>
        <w:tc>
          <w:tcPr>
            <w:tcW w:w="1044" w:type="pct"/>
            <w:gridSpan w:val="4"/>
            <w:shd w:val="clear" w:color="auto" w:fill="D9D9D9" w:themeFill="background1" w:themeFillShade="D9"/>
            <w:noWrap/>
            <w:vAlign w:val="center"/>
          </w:tcPr>
          <w:p w:rsidR="00AC4501" w:rsidRPr="00687F25" w:rsidRDefault="00DC0D02" w:rsidP="00DC0D02">
            <w:pPr>
              <w:spacing w:after="0" w:line="240" w:lineRule="auto"/>
              <w:jc w:val="center"/>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Marked</w:t>
            </w:r>
          </w:p>
        </w:tc>
        <w:tc>
          <w:tcPr>
            <w:tcW w:w="356" w:type="pct"/>
            <w:shd w:val="clear" w:color="auto" w:fill="D9D9D9" w:themeFill="background1" w:themeFillShade="D9"/>
            <w:noWrap/>
            <w:textDirection w:val="btLr"/>
            <w:vAlign w:val="center"/>
          </w:tcPr>
          <w:p w:rsidR="00AC4501" w:rsidRDefault="00AC4501" w:rsidP="00337CA6">
            <w:pPr>
              <w:spacing w:after="0" w:line="240" w:lineRule="auto"/>
              <w:ind w:left="113"/>
              <w:rPr>
                <w:rFonts w:ascii="Arial" w:eastAsia="Times New Roman" w:hAnsi="Arial" w:cs="Arial"/>
                <w:color w:val="000000"/>
                <w:sz w:val="18"/>
                <w:szCs w:val="18"/>
                <w:lang w:eastAsia="nb-NO"/>
              </w:rPr>
            </w:pPr>
          </w:p>
        </w:tc>
      </w:tr>
      <w:tr w:rsidR="00292ADC" w:rsidRPr="00687F25" w:rsidTr="00DC0D02">
        <w:trPr>
          <w:cantSplit/>
          <w:trHeight w:val="1304"/>
        </w:trPr>
        <w:tc>
          <w:tcPr>
            <w:tcW w:w="197" w:type="pct"/>
            <w:shd w:val="clear" w:color="DDEBF7" w:fill="DDEBF7"/>
            <w:noWrap/>
            <w:textDirection w:val="btLr"/>
            <w:vAlign w:val="center"/>
            <w:hideMark/>
          </w:tcPr>
          <w:p w:rsidR="006E1EB0" w:rsidRPr="00687F25" w:rsidRDefault="006E1EB0" w:rsidP="00687F25">
            <w:pPr>
              <w:spacing w:after="0" w:line="240" w:lineRule="auto"/>
              <w:ind w:left="113" w:right="113"/>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Rang</w:t>
            </w:r>
          </w:p>
        </w:tc>
        <w:tc>
          <w:tcPr>
            <w:tcW w:w="972" w:type="pct"/>
            <w:shd w:val="clear" w:color="DDEBF7" w:fill="DDEBF7"/>
            <w:noWrap/>
            <w:vAlign w:val="center"/>
            <w:hideMark/>
          </w:tcPr>
          <w:p w:rsidR="006E1EB0" w:rsidRPr="00687F25" w:rsidRDefault="006E1EB0" w:rsidP="00687F25">
            <w:pPr>
              <w:spacing w:after="0" w:line="240" w:lineRule="auto"/>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Region</w:t>
            </w:r>
          </w:p>
        </w:tc>
        <w:tc>
          <w:tcPr>
            <w:tcW w:w="345" w:type="pct"/>
            <w:shd w:val="clear" w:color="auto" w:fill="auto"/>
            <w:noWrap/>
            <w:vAlign w:val="center"/>
            <w:hideMark/>
          </w:tcPr>
          <w:p w:rsidR="006E1EB0" w:rsidRPr="00687F25" w:rsidRDefault="006E1EB0" w:rsidP="00687F25">
            <w:pPr>
              <w:spacing w:after="0" w:line="240" w:lineRule="auto"/>
              <w:ind w:left="57"/>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N</w:t>
            </w:r>
          </w:p>
        </w:tc>
        <w:tc>
          <w:tcPr>
            <w:tcW w:w="261" w:type="pct"/>
            <w:shd w:val="clear" w:color="auto" w:fill="D9D9D9" w:themeFill="background1" w:themeFillShade="D9"/>
            <w:noWrap/>
            <w:textDirection w:val="btLr"/>
            <w:vAlign w:val="center"/>
            <w:hideMark/>
          </w:tcPr>
          <w:p w:rsidR="006E1EB0" w:rsidRPr="00687F25" w:rsidRDefault="006E1EB0" w:rsidP="00337CA6">
            <w:pPr>
              <w:spacing w:after="0" w:line="240" w:lineRule="auto"/>
              <w:ind w:left="113"/>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Vare</w:t>
            </w:r>
          </w:p>
        </w:tc>
        <w:tc>
          <w:tcPr>
            <w:tcW w:w="261" w:type="pct"/>
            <w:shd w:val="clear" w:color="auto" w:fill="D9D9D9" w:themeFill="background1" w:themeFillShade="D9"/>
            <w:noWrap/>
            <w:textDirection w:val="btLr"/>
            <w:vAlign w:val="center"/>
            <w:hideMark/>
          </w:tcPr>
          <w:p w:rsidR="006E1EB0" w:rsidRPr="00687F25" w:rsidRDefault="006E1EB0" w:rsidP="00337CA6">
            <w:pPr>
              <w:spacing w:after="0" w:line="240" w:lineRule="auto"/>
              <w:ind w:left="113"/>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Tjeneste</w:t>
            </w:r>
          </w:p>
        </w:tc>
        <w:tc>
          <w:tcPr>
            <w:tcW w:w="261" w:type="pct"/>
            <w:shd w:val="clear" w:color="auto" w:fill="D9D9D9" w:themeFill="background1" w:themeFillShade="D9"/>
            <w:noWrap/>
            <w:textDirection w:val="btLr"/>
            <w:vAlign w:val="center"/>
            <w:hideMark/>
          </w:tcPr>
          <w:p w:rsidR="006E1EB0" w:rsidRPr="00687F25" w:rsidRDefault="006E1EB0" w:rsidP="00337CA6">
            <w:pPr>
              <w:spacing w:after="0" w:line="240" w:lineRule="auto"/>
              <w:ind w:left="113"/>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Nytt marked</w:t>
            </w:r>
          </w:p>
        </w:tc>
        <w:tc>
          <w:tcPr>
            <w:tcW w:w="261" w:type="pct"/>
            <w:shd w:val="clear" w:color="auto" w:fill="D9D9D9" w:themeFill="background1" w:themeFillShade="D9"/>
            <w:noWrap/>
            <w:textDirection w:val="btLr"/>
            <w:vAlign w:val="center"/>
            <w:hideMark/>
          </w:tcPr>
          <w:p w:rsidR="006E1EB0" w:rsidRPr="00687F25" w:rsidRDefault="006E1EB0" w:rsidP="00337CA6">
            <w:pPr>
              <w:spacing w:after="0" w:line="240" w:lineRule="auto"/>
              <w:ind w:left="113"/>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Nytt Verden</w:t>
            </w:r>
          </w:p>
        </w:tc>
        <w:tc>
          <w:tcPr>
            <w:tcW w:w="261" w:type="pct"/>
            <w:shd w:val="clear" w:color="auto" w:fill="D9D9D9" w:themeFill="background1" w:themeFillShade="D9"/>
            <w:noWrap/>
            <w:textDirection w:val="btLr"/>
            <w:vAlign w:val="center"/>
            <w:hideMark/>
          </w:tcPr>
          <w:p w:rsidR="006E1EB0" w:rsidRPr="00687F25" w:rsidRDefault="006E1EB0" w:rsidP="00337CA6">
            <w:pPr>
              <w:spacing w:after="0" w:line="240" w:lineRule="auto"/>
              <w:ind w:left="113"/>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Metode</w:t>
            </w:r>
          </w:p>
        </w:tc>
        <w:tc>
          <w:tcPr>
            <w:tcW w:w="261" w:type="pct"/>
            <w:shd w:val="clear" w:color="auto" w:fill="D9D9D9" w:themeFill="background1" w:themeFillShade="D9"/>
            <w:noWrap/>
            <w:textDirection w:val="btLr"/>
            <w:vAlign w:val="center"/>
            <w:hideMark/>
          </w:tcPr>
          <w:p w:rsidR="006E1EB0" w:rsidRPr="00687F25" w:rsidRDefault="006E1EB0" w:rsidP="00337CA6">
            <w:pPr>
              <w:spacing w:after="0" w:line="240" w:lineRule="auto"/>
              <w:ind w:left="113"/>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Distribusjon</w:t>
            </w:r>
          </w:p>
        </w:tc>
        <w:tc>
          <w:tcPr>
            <w:tcW w:w="261" w:type="pct"/>
            <w:shd w:val="clear" w:color="auto" w:fill="D9D9D9" w:themeFill="background1" w:themeFillShade="D9"/>
            <w:noWrap/>
            <w:textDirection w:val="btLr"/>
            <w:vAlign w:val="center"/>
            <w:hideMark/>
          </w:tcPr>
          <w:p w:rsidR="00DC0D02" w:rsidRDefault="00337CA6" w:rsidP="00337CA6">
            <w:pPr>
              <w:spacing w:after="0" w:line="240" w:lineRule="auto"/>
              <w:ind w:left="113"/>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Støtte</w:t>
            </w:r>
            <w:r w:rsidR="00DC0D02">
              <w:rPr>
                <w:rFonts w:ascii="Arial" w:eastAsia="Times New Roman" w:hAnsi="Arial" w:cs="Arial"/>
                <w:color w:val="000000"/>
                <w:sz w:val="18"/>
                <w:szCs w:val="18"/>
                <w:lang w:eastAsia="nb-NO"/>
              </w:rPr>
              <w:t>-</w:t>
            </w:r>
          </w:p>
          <w:p w:rsidR="006E1EB0" w:rsidRPr="00687F25" w:rsidRDefault="006E1EB0" w:rsidP="00337CA6">
            <w:pPr>
              <w:spacing w:after="0" w:line="240" w:lineRule="auto"/>
              <w:ind w:left="113"/>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funksjon</w:t>
            </w:r>
          </w:p>
        </w:tc>
        <w:tc>
          <w:tcPr>
            <w:tcW w:w="261" w:type="pct"/>
            <w:shd w:val="clear" w:color="auto" w:fill="D9D9D9" w:themeFill="background1" w:themeFillShade="D9"/>
            <w:noWrap/>
            <w:textDirection w:val="btLr"/>
            <w:vAlign w:val="center"/>
            <w:hideMark/>
          </w:tcPr>
          <w:p w:rsidR="006E1EB0" w:rsidRPr="00687F25" w:rsidRDefault="006E1EB0" w:rsidP="00337CA6">
            <w:pPr>
              <w:spacing w:after="0" w:line="240" w:lineRule="auto"/>
              <w:ind w:left="113"/>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Ny metode for markedet</w:t>
            </w:r>
          </w:p>
        </w:tc>
        <w:tc>
          <w:tcPr>
            <w:tcW w:w="261" w:type="pct"/>
            <w:shd w:val="clear" w:color="auto" w:fill="D9D9D9" w:themeFill="background1" w:themeFillShade="D9"/>
            <w:noWrap/>
            <w:textDirection w:val="btLr"/>
            <w:vAlign w:val="center"/>
            <w:hideMark/>
          </w:tcPr>
          <w:p w:rsidR="006E1EB0" w:rsidRPr="00687F25" w:rsidRDefault="006E1EB0" w:rsidP="00337CA6">
            <w:pPr>
              <w:spacing w:after="0" w:line="240" w:lineRule="auto"/>
              <w:ind w:left="113"/>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Design</w:t>
            </w:r>
          </w:p>
        </w:tc>
        <w:tc>
          <w:tcPr>
            <w:tcW w:w="261" w:type="pct"/>
            <w:shd w:val="clear" w:color="auto" w:fill="D9D9D9" w:themeFill="background1" w:themeFillShade="D9"/>
            <w:noWrap/>
            <w:textDirection w:val="btLr"/>
            <w:vAlign w:val="center"/>
            <w:hideMark/>
          </w:tcPr>
          <w:p w:rsidR="006E1EB0" w:rsidRPr="00687F25" w:rsidRDefault="006E1EB0" w:rsidP="00337CA6">
            <w:pPr>
              <w:spacing w:after="0" w:line="240" w:lineRule="auto"/>
              <w:ind w:left="113"/>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Media</w:t>
            </w:r>
          </w:p>
        </w:tc>
        <w:tc>
          <w:tcPr>
            <w:tcW w:w="261" w:type="pct"/>
            <w:shd w:val="clear" w:color="auto" w:fill="D9D9D9" w:themeFill="background1" w:themeFillShade="D9"/>
            <w:noWrap/>
            <w:textDirection w:val="btLr"/>
            <w:vAlign w:val="center"/>
            <w:hideMark/>
          </w:tcPr>
          <w:p w:rsidR="00DC0D02" w:rsidRDefault="00DF728A" w:rsidP="00337CA6">
            <w:pPr>
              <w:spacing w:after="0" w:line="240" w:lineRule="auto"/>
              <w:ind w:left="113"/>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Markeds</w:t>
            </w:r>
            <w:r w:rsidR="00DC0D02">
              <w:rPr>
                <w:rFonts w:ascii="Arial" w:eastAsia="Times New Roman" w:hAnsi="Arial" w:cs="Arial"/>
                <w:color w:val="000000"/>
                <w:sz w:val="18"/>
                <w:szCs w:val="18"/>
                <w:lang w:eastAsia="nb-NO"/>
              </w:rPr>
              <w:t>-</w:t>
            </w:r>
          </w:p>
          <w:p w:rsidR="006E1EB0" w:rsidRPr="00687F25" w:rsidRDefault="006E1EB0" w:rsidP="00337CA6">
            <w:pPr>
              <w:spacing w:after="0" w:line="240" w:lineRule="auto"/>
              <w:ind w:left="113"/>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kanal</w:t>
            </w:r>
          </w:p>
        </w:tc>
        <w:tc>
          <w:tcPr>
            <w:tcW w:w="261" w:type="pct"/>
            <w:shd w:val="clear" w:color="auto" w:fill="D9D9D9" w:themeFill="background1" w:themeFillShade="D9"/>
            <w:noWrap/>
            <w:textDirection w:val="btLr"/>
            <w:vAlign w:val="center"/>
            <w:hideMark/>
          </w:tcPr>
          <w:p w:rsidR="006E1EB0" w:rsidRPr="00687F25" w:rsidRDefault="006E1EB0" w:rsidP="00337CA6">
            <w:pPr>
              <w:spacing w:after="0" w:line="240" w:lineRule="auto"/>
              <w:ind w:left="113"/>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Prising</w:t>
            </w:r>
          </w:p>
        </w:tc>
        <w:tc>
          <w:tcPr>
            <w:tcW w:w="356" w:type="pct"/>
            <w:shd w:val="clear" w:color="auto" w:fill="D9D9D9" w:themeFill="background1" w:themeFillShade="D9"/>
            <w:noWrap/>
            <w:textDirection w:val="btLr"/>
            <w:vAlign w:val="center"/>
            <w:hideMark/>
          </w:tcPr>
          <w:p w:rsidR="00DC0D02" w:rsidRDefault="00337CA6" w:rsidP="00337CA6">
            <w:pPr>
              <w:spacing w:after="0" w:line="240" w:lineRule="auto"/>
              <w:ind w:left="113"/>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Innovasjons</w:t>
            </w:r>
            <w:r w:rsidR="00DC0D02">
              <w:rPr>
                <w:rFonts w:ascii="Arial" w:eastAsia="Times New Roman" w:hAnsi="Arial" w:cs="Arial"/>
                <w:color w:val="000000"/>
                <w:sz w:val="18"/>
                <w:szCs w:val="18"/>
                <w:lang w:eastAsia="nb-NO"/>
              </w:rPr>
              <w:t>-</w:t>
            </w:r>
          </w:p>
          <w:p w:rsidR="006E1EB0" w:rsidRPr="00687F25" w:rsidRDefault="006E1EB0" w:rsidP="00337CA6">
            <w:pPr>
              <w:spacing w:after="0" w:line="240" w:lineRule="auto"/>
              <w:ind w:left="113"/>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grad</w:t>
            </w:r>
          </w:p>
        </w:tc>
      </w:tr>
      <w:tr w:rsidR="00337CA6" w:rsidRPr="00687F25" w:rsidTr="00AC4501">
        <w:trPr>
          <w:trHeight w:val="227"/>
        </w:trPr>
        <w:tc>
          <w:tcPr>
            <w:tcW w:w="197" w:type="pct"/>
            <w:shd w:val="clear" w:color="auto" w:fill="auto"/>
            <w:noWrap/>
            <w:vAlign w:val="bottom"/>
          </w:tcPr>
          <w:p w:rsidR="003D281F" w:rsidRPr="00687F25" w:rsidRDefault="003D281F" w:rsidP="003D281F">
            <w:pPr>
              <w:spacing w:after="0" w:line="240" w:lineRule="auto"/>
              <w:rPr>
                <w:rFonts w:ascii="Arial" w:eastAsia="Times New Roman" w:hAnsi="Arial" w:cs="Arial"/>
                <w:sz w:val="18"/>
                <w:szCs w:val="18"/>
                <w:lang w:eastAsia="nb-NO"/>
              </w:rPr>
            </w:pPr>
          </w:p>
        </w:tc>
        <w:tc>
          <w:tcPr>
            <w:tcW w:w="972" w:type="pct"/>
            <w:shd w:val="clear" w:color="auto" w:fill="auto"/>
            <w:noWrap/>
            <w:vAlign w:val="bottom"/>
          </w:tcPr>
          <w:p w:rsidR="003D281F" w:rsidRPr="00337CA6" w:rsidRDefault="003D281F" w:rsidP="003D281F">
            <w:pPr>
              <w:spacing w:after="0" w:line="240" w:lineRule="auto"/>
              <w:rPr>
                <w:rFonts w:ascii="Arial" w:eastAsia="Times New Roman" w:hAnsi="Arial" w:cs="Arial"/>
                <w:b/>
                <w:sz w:val="18"/>
                <w:szCs w:val="18"/>
                <w:lang w:eastAsia="nb-NO"/>
              </w:rPr>
            </w:pPr>
            <w:r w:rsidRPr="00337CA6">
              <w:rPr>
                <w:rFonts w:ascii="Arial" w:eastAsia="Times New Roman" w:hAnsi="Arial" w:cs="Arial"/>
                <w:b/>
                <w:sz w:val="18"/>
                <w:szCs w:val="18"/>
                <w:lang w:eastAsia="nb-NO"/>
              </w:rPr>
              <w:t>Vekt</w:t>
            </w:r>
          </w:p>
        </w:tc>
        <w:tc>
          <w:tcPr>
            <w:tcW w:w="345" w:type="pct"/>
            <w:shd w:val="clear" w:color="auto" w:fill="auto"/>
            <w:noWrap/>
            <w:vAlign w:val="bottom"/>
          </w:tcPr>
          <w:p w:rsidR="003D281F" w:rsidRPr="00687F25" w:rsidRDefault="003D281F" w:rsidP="003D281F">
            <w:pPr>
              <w:spacing w:after="0" w:line="240" w:lineRule="auto"/>
              <w:rPr>
                <w:rFonts w:ascii="Arial" w:eastAsia="Times New Roman" w:hAnsi="Arial" w:cs="Arial"/>
                <w:sz w:val="18"/>
                <w:szCs w:val="18"/>
                <w:lang w:eastAsia="nb-NO"/>
              </w:rPr>
            </w:pPr>
          </w:p>
        </w:tc>
        <w:tc>
          <w:tcPr>
            <w:tcW w:w="261" w:type="pct"/>
            <w:shd w:val="clear" w:color="auto" w:fill="D9D9D9" w:themeFill="background1" w:themeFillShade="D9"/>
            <w:noWrap/>
            <w:vAlign w:val="bottom"/>
          </w:tcPr>
          <w:p w:rsidR="003D281F" w:rsidRPr="00687F25" w:rsidRDefault="003D281F" w:rsidP="003D281F">
            <w:pPr>
              <w:spacing w:after="0" w:line="240" w:lineRule="auto"/>
              <w:jc w:val="center"/>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w:t>
            </w:r>
          </w:p>
        </w:tc>
        <w:tc>
          <w:tcPr>
            <w:tcW w:w="261" w:type="pct"/>
            <w:shd w:val="clear" w:color="auto" w:fill="D9D9D9" w:themeFill="background1" w:themeFillShade="D9"/>
            <w:noWrap/>
            <w:vAlign w:val="bottom"/>
          </w:tcPr>
          <w:p w:rsidR="003D281F" w:rsidRPr="00687F25" w:rsidRDefault="003D281F" w:rsidP="003D281F">
            <w:pPr>
              <w:spacing w:after="0" w:line="240" w:lineRule="auto"/>
              <w:jc w:val="center"/>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w:t>
            </w:r>
          </w:p>
        </w:tc>
        <w:tc>
          <w:tcPr>
            <w:tcW w:w="261" w:type="pct"/>
            <w:shd w:val="clear" w:color="auto" w:fill="D9D9D9" w:themeFill="background1" w:themeFillShade="D9"/>
            <w:noWrap/>
            <w:vAlign w:val="bottom"/>
          </w:tcPr>
          <w:p w:rsidR="003D281F" w:rsidRPr="00687F25" w:rsidRDefault="003D281F" w:rsidP="003D281F">
            <w:pPr>
              <w:spacing w:after="0" w:line="240" w:lineRule="auto"/>
              <w:jc w:val="center"/>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w:t>
            </w:r>
          </w:p>
        </w:tc>
        <w:tc>
          <w:tcPr>
            <w:tcW w:w="261" w:type="pct"/>
            <w:shd w:val="clear" w:color="auto" w:fill="D9D9D9" w:themeFill="background1" w:themeFillShade="D9"/>
            <w:noWrap/>
            <w:vAlign w:val="bottom"/>
          </w:tcPr>
          <w:p w:rsidR="003D281F" w:rsidRPr="00687F25" w:rsidRDefault="003D281F" w:rsidP="003D281F">
            <w:pPr>
              <w:spacing w:after="0" w:line="240" w:lineRule="auto"/>
              <w:jc w:val="center"/>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w:t>
            </w:r>
          </w:p>
        </w:tc>
        <w:tc>
          <w:tcPr>
            <w:tcW w:w="261" w:type="pct"/>
            <w:shd w:val="clear" w:color="auto" w:fill="D9D9D9" w:themeFill="background1" w:themeFillShade="D9"/>
            <w:noWrap/>
            <w:vAlign w:val="bottom"/>
          </w:tcPr>
          <w:p w:rsidR="003D281F" w:rsidRPr="00687F25" w:rsidRDefault="003D281F" w:rsidP="003D281F">
            <w:pPr>
              <w:spacing w:after="0" w:line="240" w:lineRule="auto"/>
              <w:jc w:val="center"/>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w:t>
            </w:r>
          </w:p>
        </w:tc>
        <w:tc>
          <w:tcPr>
            <w:tcW w:w="261" w:type="pct"/>
            <w:shd w:val="clear" w:color="auto" w:fill="D9D9D9" w:themeFill="background1" w:themeFillShade="D9"/>
            <w:noWrap/>
            <w:vAlign w:val="bottom"/>
          </w:tcPr>
          <w:p w:rsidR="003D281F" w:rsidRPr="00687F25" w:rsidRDefault="003D281F" w:rsidP="003D281F">
            <w:pPr>
              <w:spacing w:after="0" w:line="240" w:lineRule="auto"/>
              <w:jc w:val="center"/>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w:t>
            </w:r>
          </w:p>
        </w:tc>
        <w:tc>
          <w:tcPr>
            <w:tcW w:w="261" w:type="pct"/>
            <w:shd w:val="clear" w:color="auto" w:fill="D9D9D9" w:themeFill="background1" w:themeFillShade="D9"/>
            <w:noWrap/>
            <w:vAlign w:val="bottom"/>
          </w:tcPr>
          <w:p w:rsidR="003D281F" w:rsidRPr="00687F25" w:rsidRDefault="003D281F" w:rsidP="003D281F">
            <w:pPr>
              <w:spacing w:after="0" w:line="240" w:lineRule="auto"/>
              <w:jc w:val="center"/>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w:t>
            </w:r>
          </w:p>
        </w:tc>
        <w:tc>
          <w:tcPr>
            <w:tcW w:w="261" w:type="pct"/>
            <w:shd w:val="clear" w:color="auto" w:fill="D9D9D9" w:themeFill="background1" w:themeFillShade="D9"/>
            <w:noWrap/>
            <w:vAlign w:val="bottom"/>
          </w:tcPr>
          <w:p w:rsidR="003D281F" w:rsidRPr="00687F25" w:rsidRDefault="003D281F" w:rsidP="003D281F">
            <w:pPr>
              <w:spacing w:after="0" w:line="240" w:lineRule="auto"/>
              <w:jc w:val="center"/>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w:t>
            </w:r>
          </w:p>
        </w:tc>
        <w:tc>
          <w:tcPr>
            <w:tcW w:w="261" w:type="pct"/>
            <w:shd w:val="clear" w:color="auto" w:fill="D9D9D9" w:themeFill="background1" w:themeFillShade="D9"/>
            <w:noWrap/>
            <w:vAlign w:val="bottom"/>
          </w:tcPr>
          <w:p w:rsidR="003D281F" w:rsidRPr="00687F25" w:rsidRDefault="003D281F" w:rsidP="003D281F">
            <w:pPr>
              <w:spacing w:after="0" w:line="240" w:lineRule="auto"/>
              <w:jc w:val="center"/>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w:t>
            </w:r>
          </w:p>
        </w:tc>
        <w:tc>
          <w:tcPr>
            <w:tcW w:w="261" w:type="pct"/>
            <w:shd w:val="clear" w:color="auto" w:fill="D9D9D9" w:themeFill="background1" w:themeFillShade="D9"/>
            <w:noWrap/>
            <w:vAlign w:val="bottom"/>
          </w:tcPr>
          <w:p w:rsidR="003D281F" w:rsidRPr="00687F25" w:rsidRDefault="003D281F" w:rsidP="003D281F">
            <w:pPr>
              <w:spacing w:after="0" w:line="240" w:lineRule="auto"/>
              <w:jc w:val="center"/>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w:t>
            </w:r>
          </w:p>
        </w:tc>
        <w:tc>
          <w:tcPr>
            <w:tcW w:w="261" w:type="pct"/>
            <w:shd w:val="clear" w:color="auto" w:fill="D9D9D9" w:themeFill="background1" w:themeFillShade="D9"/>
            <w:noWrap/>
            <w:vAlign w:val="bottom"/>
          </w:tcPr>
          <w:p w:rsidR="003D281F" w:rsidRPr="00687F25" w:rsidRDefault="003D281F" w:rsidP="003D281F">
            <w:pPr>
              <w:spacing w:after="0" w:line="240" w:lineRule="auto"/>
              <w:jc w:val="center"/>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0,5</w:t>
            </w:r>
          </w:p>
        </w:tc>
        <w:tc>
          <w:tcPr>
            <w:tcW w:w="261" w:type="pct"/>
            <w:shd w:val="clear" w:color="auto" w:fill="D9D9D9" w:themeFill="background1" w:themeFillShade="D9"/>
            <w:noWrap/>
            <w:vAlign w:val="bottom"/>
          </w:tcPr>
          <w:p w:rsidR="003D281F" w:rsidRPr="00687F25" w:rsidRDefault="003D281F" w:rsidP="003D281F">
            <w:pPr>
              <w:spacing w:after="0" w:line="240" w:lineRule="auto"/>
              <w:jc w:val="center"/>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0,5</w:t>
            </w:r>
          </w:p>
        </w:tc>
        <w:tc>
          <w:tcPr>
            <w:tcW w:w="356" w:type="pct"/>
            <w:shd w:val="clear" w:color="auto" w:fill="D9D9D9" w:themeFill="background1" w:themeFillShade="D9"/>
            <w:noWrap/>
            <w:vAlign w:val="bottom"/>
          </w:tcPr>
          <w:p w:rsidR="003D281F" w:rsidRPr="00687F25" w:rsidRDefault="003D281F" w:rsidP="003D281F">
            <w:pPr>
              <w:spacing w:after="0" w:line="240" w:lineRule="auto"/>
              <w:rPr>
                <w:rFonts w:ascii="Arial" w:eastAsia="Times New Roman" w:hAnsi="Arial" w:cs="Arial"/>
                <w:color w:val="000000"/>
                <w:sz w:val="18"/>
                <w:szCs w:val="18"/>
                <w:lang w:eastAsia="nb-NO"/>
              </w:rPr>
            </w:pPr>
          </w:p>
        </w:tc>
      </w:tr>
      <w:tr w:rsidR="00337CA6" w:rsidRPr="00687F25" w:rsidTr="00AC4501">
        <w:trPr>
          <w:trHeight w:val="227"/>
        </w:trPr>
        <w:tc>
          <w:tcPr>
            <w:tcW w:w="197" w:type="pct"/>
            <w:shd w:val="clear" w:color="000000" w:fill="5D8CC7"/>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2</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Midt-Telemark</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21</w:t>
            </w:r>
          </w:p>
        </w:tc>
        <w:tc>
          <w:tcPr>
            <w:tcW w:w="261" w:type="pct"/>
            <w:shd w:val="clear" w:color="000000" w:fill="6491C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23,8</w:t>
            </w:r>
          </w:p>
        </w:tc>
        <w:tc>
          <w:tcPr>
            <w:tcW w:w="261" w:type="pct"/>
            <w:shd w:val="clear" w:color="000000" w:fill="84A8D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14,3</w:t>
            </w:r>
          </w:p>
        </w:tc>
        <w:tc>
          <w:tcPr>
            <w:tcW w:w="261" w:type="pct"/>
            <w:shd w:val="clear" w:color="000000" w:fill="92B1D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8,0</w:t>
            </w:r>
          </w:p>
        </w:tc>
        <w:tc>
          <w:tcPr>
            <w:tcW w:w="261" w:type="pct"/>
            <w:shd w:val="clear" w:color="000000" w:fill="F4F7F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4,8</w:t>
            </w:r>
          </w:p>
        </w:tc>
        <w:tc>
          <w:tcPr>
            <w:tcW w:w="261" w:type="pct"/>
            <w:shd w:val="clear" w:color="000000" w:fill="91B1D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23,8</w:t>
            </w:r>
          </w:p>
        </w:tc>
        <w:tc>
          <w:tcPr>
            <w:tcW w:w="261" w:type="pct"/>
            <w:shd w:val="clear" w:color="000000" w:fill="7AA1D2"/>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14,3</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D4E0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9,5</w:t>
            </w:r>
          </w:p>
        </w:tc>
        <w:tc>
          <w:tcPr>
            <w:tcW w:w="261" w:type="pct"/>
            <w:shd w:val="clear" w:color="000000" w:fill="EDF2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14,3</w:t>
            </w:r>
          </w:p>
        </w:tc>
        <w:tc>
          <w:tcPr>
            <w:tcW w:w="261" w:type="pct"/>
            <w:shd w:val="clear" w:color="000000" w:fill="BED1E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19,0</w:t>
            </w:r>
          </w:p>
        </w:tc>
        <w:tc>
          <w:tcPr>
            <w:tcW w:w="261" w:type="pct"/>
            <w:shd w:val="clear" w:color="000000" w:fill="FAB8B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4,8</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356" w:type="pct"/>
            <w:shd w:val="clear" w:color="000000" w:fill="6793C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267,7</w:t>
            </w:r>
          </w:p>
        </w:tc>
      </w:tr>
      <w:tr w:rsidR="00337CA6" w:rsidRPr="00687F25" w:rsidTr="00AC4501">
        <w:trPr>
          <w:trHeight w:val="227"/>
        </w:trPr>
        <w:tc>
          <w:tcPr>
            <w:tcW w:w="197" w:type="pct"/>
            <w:shd w:val="clear" w:color="000000" w:fill="6592CA"/>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4</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Akershus Vest</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386</w:t>
            </w:r>
          </w:p>
        </w:tc>
        <w:tc>
          <w:tcPr>
            <w:tcW w:w="261" w:type="pct"/>
            <w:shd w:val="clear" w:color="000000" w:fill="A2BDE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19,7</w:t>
            </w:r>
          </w:p>
        </w:tc>
        <w:tc>
          <w:tcPr>
            <w:tcW w:w="261" w:type="pct"/>
            <w:shd w:val="clear" w:color="000000" w:fill="89ABD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14,0</w:t>
            </w:r>
          </w:p>
        </w:tc>
        <w:tc>
          <w:tcPr>
            <w:tcW w:w="261" w:type="pct"/>
            <w:shd w:val="clear" w:color="000000" w:fill="E0E9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4,1</w:t>
            </w:r>
          </w:p>
        </w:tc>
        <w:tc>
          <w:tcPr>
            <w:tcW w:w="261" w:type="pct"/>
            <w:shd w:val="clear" w:color="000000" w:fill="90B0D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12,7</w:t>
            </w:r>
          </w:p>
        </w:tc>
        <w:tc>
          <w:tcPr>
            <w:tcW w:w="261" w:type="pct"/>
            <w:shd w:val="clear" w:color="000000" w:fill="DEE7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14,2</w:t>
            </w:r>
          </w:p>
        </w:tc>
        <w:tc>
          <w:tcPr>
            <w:tcW w:w="261" w:type="pct"/>
            <w:shd w:val="clear" w:color="000000" w:fill="EDF1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5,7</w:t>
            </w:r>
          </w:p>
        </w:tc>
        <w:tc>
          <w:tcPr>
            <w:tcW w:w="261" w:type="pct"/>
            <w:shd w:val="clear" w:color="000000" w:fill="ABC3E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12,4</w:t>
            </w:r>
          </w:p>
        </w:tc>
        <w:tc>
          <w:tcPr>
            <w:tcW w:w="261" w:type="pct"/>
            <w:shd w:val="clear" w:color="000000" w:fill="FAFBF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6,5</w:t>
            </w:r>
          </w:p>
        </w:tc>
        <w:tc>
          <w:tcPr>
            <w:tcW w:w="261" w:type="pct"/>
            <w:shd w:val="clear" w:color="000000" w:fill="D8E3F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17,2</w:t>
            </w:r>
          </w:p>
        </w:tc>
        <w:tc>
          <w:tcPr>
            <w:tcW w:w="261" w:type="pct"/>
            <w:shd w:val="clear" w:color="000000" w:fill="EAEFF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14,9</w:t>
            </w:r>
          </w:p>
        </w:tc>
        <w:tc>
          <w:tcPr>
            <w:tcW w:w="261" w:type="pct"/>
            <w:shd w:val="clear" w:color="000000" w:fill="EEF3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10,5</w:t>
            </w:r>
          </w:p>
        </w:tc>
        <w:tc>
          <w:tcPr>
            <w:tcW w:w="261" w:type="pct"/>
            <w:shd w:val="clear" w:color="000000" w:fill="FBF8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7,2</w:t>
            </w:r>
          </w:p>
        </w:tc>
        <w:tc>
          <w:tcPr>
            <w:tcW w:w="356" w:type="pct"/>
            <w:shd w:val="clear" w:color="000000" w:fill="769ED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259,0</w:t>
            </w:r>
          </w:p>
        </w:tc>
      </w:tr>
      <w:tr w:rsidR="00337CA6" w:rsidRPr="00687F25" w:rsidTr="00AC4501">
        <w:trPr>
          <w:trHeight w:val="227"/>
        </w:trPr>
        <w:tc>
          <w:tcPr>
            <w:tcW w:w="197" w:type="pct"/>
            <w:shd w:val="clear" w:color="000000" w:fill="6D97CC"/>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6</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Fjellregionen</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34</w:t>
            </w:r>
          </w:p>
        </w:tc>
        <w:tc>
          <w:tcPr>
            <w:tcW w:w="261" w:type="pct"/>
            <w:shd w:val="clear" w:color="000000" w:fill="EDF2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14,7</w:t>
            </w:r>
          </w:p>
        </w:tc>
        <w:tc>
          <w:tcPr>
            <w:tcW w:w="261" w:type="pct"/>
            <w:shd w:val="clear" w:color="000000" w:fill="FBDEE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5,9</w:t>
            </w:r>
          </w:p>
        </w:tc>
        <w:tc>
          <w:tcPr>
            <w:tcW w:w="261" w:type="pct"/>
            <w:shd w:val="clear" w:color="000000" w:fill="FBEE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2,5</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94B3D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23,5</w:t>
            </w:r>
          </w:p>
        </w:tc>
        <w:tc>
          <w:tcPr>
            <w:tcW w:w="261" w:type="pct"/>
            <w:shd w:val="clear" w:color="000000" w:fill="EAF0F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5,9</w:t>
            </w:r>
          </w:p>
        </w:tc>
        <w:tc>
          <w:tcPr>
            <w:tcW w:w="261" w:type="pct"/>
            <w:shd w:val="clear" w:color="000000" w:fill="E8EEF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8,8</w:t>
            </w:r>
          </w:p>
        </w:tc>
        <w:tc>
          <w:tcPr>
            <w:tcW w:w="261" w:type="pct"/>
            <w:shd w:val="clear" w:color="000000" w:fill="B8CDE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11,8</w:t>
            </w:r>
          </w:p>
        </w:tc>
        <w:tc>
          <w:tcPr>
            <w:tcW w:w="261" w:type="pct"/>
            <w:shd w:val="clear" w:color="000000" w:fill="5A8AC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34,3</w:t>
            </w:r>
          </w:p>
        </w:tc>
        <w:tc>
          <w:tcPr>
            <w:tcW w:w="261" w:type="pct"/>
            <w:shd w:val="clear" w:color="000000" w:fill="F0F4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14,3</w:t>
            </w:r>
          </w:p>
        </w:tc>
        <w:tc>
          <w:tcPr>
            <w:tcW w:w="261" w:type="pct"/>
            <w:shd w:val="clear" w:color="000000" w:fill="D0DDF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14,3</w:t>
            </w:r>
          </w:p>
        </w:tc>
        <w:tc>
          <w:tcPr>
            <w:tcW w:w="261" w:type="pct"/>
            <w:shd w:val="clear" w:color="000000" w:fill="E6EDF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8,6</w:t>
            </w:r>
          </w:p>
        </w:tc>
        <w:tc>
          <w:tcPr>
            <w:tcW w:w="356" w:type="pct"/>
            <w:shd w:val="clear" w:color="000000" w:fill="91B1D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242,5</w:t>
            </w:r>
          </w:p>
        </w:tc>
      </w:tr>
      <w:tr w:rsidR="00337CA6" w:rsidRPr="00687F25" w:rsidTr="00AC4501">
        <w:trPr>
          <w:trHeight w:val="227"/>
        </w:trPr>
        <w:tc>
          <w:tcPr>
            <w:tcW w:w="197" w:type="pct"/>
            <w:shd w:val="clear" w:color="000000" w:fill="85A8D5"/>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12</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Ringerike/Hole</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49</w:t>
            </w:r>
          </w:p>
        </w:tc>
        <w:tc>
          <w:tcPr>
            <w:tcW w:w="261" w:type="pct"/>
            <w:shd w:val="clear" w:color="000000" w:fill="97B5D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20,4</w:t>
            </w:r>
          </w:p>
        </w:tc>
        <w:tc>
          <w:tcPr>
            <w:tcW w:w="261" w:type="pct"/>
            <w:shd w:val="clear" w:color="000000" w:fill="FBE3E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6,1</w:t>
            </w:r>
          </w:p>
        </w:tc>
        <w:tc>
          <w:tcPr>
            <w:tcW w:w="261" w:type="pct"/>
            <w:shd w:val="clear" w:color="000000" w:fill="5A8AC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10,7</w:t>
            </w:r>
          </w:p>
        </w:tc>
        <w:tc>
          <w:tcPr>
            <w:tcW w:w="261" w:type="pct"/>
            <w:shd w:val="clear" w:color="000000" w:fill="E3EBF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6,1</w:t>
            </w:r>
          </w:p>
        </w:tc>
        <w:tc>
          <w:tcPr>
            <w:tcW w:w="261" w:type="pct"/>
            <w:shd w:val="clear" w:color="000000" w:fill="DEE7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14,3</w:t>
            </w:r>
          </w:p>
        </w:tc>
        <w:tc>
          <w:tcPr>
            <w:tcW w:w="261" w:type="pct"/>
            <w:shd w:val="clear" w:color="000000" w:fill="FBEDF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4,1</w:t>
            </w:r>
          </w:p>
        </w:tc>
        <w:tc>
          <w:tcPr>
            <w:tcW w:w="261" w:type="pct"/>
            <w:shd w:val="clear" w:color="000000" w:fill="8CADD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14,3</w:t>
            </w:r>
          </w:p>
        </w:tc>
        <w:tc>
          <w:tcPr>
            <w:tcW w:w="261" w:type="pct"/>
            <w:shd w:val="clear" w:color="000000" w:fill="FAC8C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4,1</w:t>
            </w:r>
          </w:p>
        </w:tc>
        <w:tc>
          <w:tcPr>
            <w:tcW w:w="261" w:type="pct"/>
            <w:shd w:val="clear" w:color="000000" w:fill="EDF2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14,3</w:t>
            </w:r>
          </w:p>
        </w:tc>
        <w:tc>
          <w:tcPr>
            <w:tcW w:w="261" w:type="pct"/>
            <w:shd w:val="clear" w:color="000000" w:fill="FBDBD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10,2</w:t>
            </w:r>
          </w:p>
        </w:tc>
        <w:tc>
          <w:tcPr>
            <w:tcW w:w="261" w:type="pct"/>
            <w:shd w:val="clear" w:color="000000" w:fill="F88B8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2,0</w:t>
            </w:r>
          </w:p>
        </w:tc>
        <w:tc>
          <w:tcPr>
            <w:tcW w:w="261" w:type="pct"/>
            <w:shd w:val="clear" w:color="000000" w:fill="EEF2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8,2</w:t>
            </w:r>
          </w:p>
        </w:tc>
        <w:tc>
          <w:tcPr>
            <w:tcW w:w="356" w:type="pct"/>
            <w:shd w:val="clear" w:color="000000" w:fill="B1C8E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223,5</w:t>
            </w:r>
          </w:p>
        </w:tc>
      </w:tr>
      <w:tr w:rsidR="00337CA6" w:rsidRPr="00687F25" w:rsidTr="00AC4501">
        <w:trPr>
          <w:trHeight w:val="227"/>
        </w:trPr>
        <w:tc>
          <w:tcPr>
            <w:tcW w:w="197" w:type="pct"/>
            <w:shd w:val="clear" w:color="000000" w:fill="8DAED8"/>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14</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proofErr w:type="spellStart"/>
            <w:r w:rsidRPr="00687F25">
              <w:rPr>
                <w:rFonts w:ascii="Arial" w:eastAsia="Times New Roman" w:hAnsi="Arial" w:cs="Arial"/>
                <w:color w:val="000000"/>
                <w:sz w:val="18"/>
                <w:szCs w:val="18"/>
                <w:lang w:eastAsia="nb-NO"/>
              </w:rPr>
              <w:t>Gjøvikregionen</w:t>
            </w:r>
            <w:proofErr w:type="spellEnd"/>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124</w:t>
            </w:r>
          </w:p>
        </w:tc>
        <w:tc>
          <w:tcPr>
            <w:tcW w:w="261" w:type="pct"/>
            <w:shd w:val="clear" w:color="000000" w:fill="9BB8D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20,2</w:t>
            </w:r>
          </w:p>
        </w:tc>
        <w:tc>
          <w:tcPr>
            <w:tcW w:w="261" w:type="pct"/>
            <w:shd w:val="clear" w:color="000000" w:fill="E2EA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8,9</w:t>
            </w:r>
          </w:p>
        </w:tc>
        <w:tc>
          <w:tcPr>
            <w:tcW w:w="261" w:type="pct"/>
            <w:shd w:val="clear" w:color="000000" w:fill="FBF4F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2,6</w:t>
            </w:r>
          </w:p>
        </w:tc>
        <w:tc>
          <w:tcPr>
            <w:tcW w:w="261" w:type="pct"/>
            <w:shd w:val="clear" w:color="000000" w:fill="C1D2E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8,9</w:t>
            </w:r>
          </w:p>
        </w:tc>
        <w:tc>
          <w:tcPr>
            <w:tcW w:w="261" w:type="pct"/>
            <w:shd w:val="clear" w:color="000000" w:fill="E9EFF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12,9</w:t>
            </w:r>
          </w:p>
        </w:tc>
        <w:tc>
          <w:tcPr>
            <w:tcW w:w="261" w:type="pct"/>
            <w:shd w:val="clear" w:color="000000" w:fill="FBECE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4,0</w:t>
            </w:r>
          </w:p>
        </w:tc>
        <w:tc>
          <w:tcPr>
            <w:tcW w:w="261" w:type="pct"/>
            <w:shd w:val="clear" w:color="000000" w:fill="DAE4F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9,7</w:t>
            </w:r>
          </w:p>
        </w:tc>
        <w:tc>
          <w:tcPr>
            <w:tcW w:w="261" w:type="pct"/>
            <w:shd w:val="clear" w:color="000000" w:fill="FAFBF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6,5</w:t>
            </w:r>
          </w:p>
        </w:tc>
        <w:tc>
          <w:tcPr>
            <w:tcW w:w="261" w:type="pct"/>
            <w:shd w:val="clear" w:color="000000" w:fill="E1E9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16,0</w:t>
            </w:r>
          </w:p>
        </w:tc>
        <w:tc>
          <w:tcPr>
            <w:tcW w:w="261" w:type="pct"/>
            <w:shd w:val="clear" w:color="000000" w:fill="E7EDF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15,2</w:t>
            </w:r>
          </w:p>
        </w:tc>
        <w:tc>
          <w:tcPr>
            <w:tcW w:w="261" w:type="pct"/>
            <w:shd w:val="clear" w:color="000000" w:fill="FBEE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8,0</w:t>
            </w:r>
          </w:p>
        </w:tc>
        <w:tc>
          <w:tcPr>
            <w:tcW w:w="261" w:type="pct"/>
            <w:shd w:val="clear" w:color="000000" w:fill="F1F4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8,0</w:t>
            </w:r>
          </w:p>
        </w:tc>
        <w:tc>
          <w:tcPr>
            <w:tcW w:w="356" w:type="pct"/>
            <w:shd w:val="clear" w:color="000000" w:fill="BACEE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218,1</w:t>
            </w:r>
          </w:p>
        </w:tc>
      </w:tr>
      <w:tr w:rsidR="00337CA6" w:rsidRPr="00687F25" w:rsidTr="00AC4501">
        <w:trPr>
          <w:trHeight w:val="227"/>
        </w:trPr>
        <w:tc>
          <w:tcPr>
            <w:tcW w:w="197" w:type="pct"/>
            <w:shd w:val="clear" w:color="000000" w:fill="95B3DA"/>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16</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Grenland</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236</w:t>
            </w:r>
          </w:p>
        </w:tc>
        <w:tc>
          <w:tcPr>
            <w:tcW w:w="261" w:type="pct"/>
            <w:shd w:val="clear" w:color="000000" w:fill="ACC4E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19,1</w:t>
            </w:r>
          </w:p>
        </w:tc>
        <w:tc>
          <w:tcPr>
            <w:tcW w:w="261" w:type="pct"/>
            <w:shd w:val="clear" w:color="000000" w:fill="89ABD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14,0</w:t>
            </w:r>
          </w:p>
        </w:tc>
        <w:tc>
          <w:tcPr>
            <w:tcW w:w="261" w:type="pct"/>
            <w:shd w:val="clear" w:color="000000" w:fill="E6EDF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3,9</w:t>
            </w:r>
          </w:p>
        </w:tc>
        <w:tc>
          <w:tcPr>
            <w:tcW w:w="261" w:type="pct"/>
            <w:shd w:val="clear" w:color="000000" w:fill="D6E1F2"/>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7,2</w:t>
            </w:r>
          </w:p>
        </w:tc>
        <w:tc>
          <w:tcPr>
            <w:tcW w:w="261" w:type="pct"/>
            <w:shd w:val="clear" w:color="000000" w:fill="E7EDF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13,1</w:t>
            </w:r>
          </w:p>
        </w:tc>
        <w:tc>
          <w:tcPr>
            <w:tcW w:w="261" w:type="pct"/>
            <w:shd w:val="clear" w:color="000000" w:fill="D9E3F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7,2</w:t>
            </w:r>
          </w:p>
        </w:tc>
        <w:tc>
          <w:tcPr>
            <w:tcW w:w="261" w:type="pct"/>
            <w:shd w:val="clear" w:color="000000" w:fill="D1DEF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10,2</w:t>
            </w:r>
          </w:p>
        </w:tc>
        <w:tc>
          <w:tcPr>
            <w:tcW w:w="261" w:type="pct"/>
            <w:shd w:val="clear" w:color="000000" w:fill="FAD6D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4,7</w:t>
            </w:r>
          </w:p>
        </w:tc>
        <w:tc>
          <w:tcPr>
            <w:tcW w:w="261" w:type="pct"/>
            <w:shd w:val="clear" w:color="000000" w:fill="FBF6F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11,8</w:t>
            </w:r>
          </w:p>
        </w:tc>
        <w:tc>
          <w:tcPr>
            <w:tcW w:w="261" w:type="pct"/>
            <w:shd w:val="clear" w:color="000000" w:fill="DAE4F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16,4</w:t>
            </w:r>
          </w:p>
        </w:tc>
        <w:tc>
          <w:tcPr>
            <w:tcW w:w="261" w:type="pct"/>
            <w:shd w:val="clear" w:color="000000" w:fill="FAD1D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6,3</w:t>
            </w:r>
          </w:p>
        </w:tc>
        <w:tc>
          <w:tcPr>
            <w:tcW w:w="261" w:type="pct"/>
            <w:shd w:val="clear" w:color="000000" w:fill="CAD9E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10,1</w:t>
            </w:r>
          </w:p>
        </w:tc>
        <w:tc>
          <w:tcPr>
            <w:tcW w:w="356" w:type="pct"/>
            <w:shd w:val="clear" w:color="000000" w:fill="BED0E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216,1</w:t>
            </w:r>
          </w:p>
        </w:tc>
      </w:tr>
      <w:tr w:rsidR="00337CA6" w:rsidRPr="00687F25" w:rsidTr="00AC4501">
        <w:trPr>
          <w:trHeight w:val="227"/>
        </w:trPr>
        <w:tc>
          <w:tcPr>
            <w:tcW w:w="197" w:type="pct"/>
            <w:shd w:val="clear" w:color="000000" w:fill="99B6DC"/>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17</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Kongsberg/Numedal</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59</w:t>
            </w:r>
          </w:p>
        </w:tc>
        <w:tc>
          <w:tcPr>
            <w:tcW w:w="261" w:type="pct"/>
            <w:shd w:val="clear" w:color="000000" w:fill="7FA4D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22,0</w:t>
            </w:r>
          </w:p>
        </w:tc>
        <w:tc>
          <w:tcPr>
            <w:tcW w:w="261" w:type="pct"/>
            <w:shd w:val="clear" w:color="000000" w:fill="FACED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5,1</w:t>
            </w:r>
          </w:p>
        </w:tc>
        <w:tc>
          <w:tcPr>
            <w:tcW w:w="261" w:type="pct"/>
            <w:shd w:val="clear" w:color="000000" w:fill="FCFCF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2,8</w:t>
            </w:r>
          </w:p>
        </w:tc>
        <w:tc>
          <w:tcPr>
            <w:tcW w:w="261" w:type="pct"/>
            <w:shd w:val="clear" w:color="000000" w:fill="5A8AC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16,9</w:t>
            </w:r>
          </w:p>
        </w:tc>
        <w:tc>
          <w:tcPr>
            <w:tcW w:w="261" w:type="pct"/>
            <w:shd w:val="clear" w:color="000000" w:fill="F1F5F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11,9</w:t>
            </w:r>
          </w:p>
        </w:tc>
        <w:tc>
          <w:tcPr>
            <w:tcW w:w="261" w:type="pct"/>
            <w:shd w:val="clear" w:color="000000" w:fill="F9A0A2"/>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w:t>
            </w:r>
          </w:p>
        </w:tc>
        <w:tc>
          <w:tcPr>
            <w:tcW w:w="261" w:type="pct"/>
            <w:shd w:val="clear" w:color="000000" w:fill="D1DEF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10,2</w:t>
            </w:r>
          </w:p>
        </w:tc>
        <w:tc>
          <w:tcPr>
            <w:tcW w:w="261" w:type="pct"/>
            <w:shd w:val="clear" w:color="000000" w:fill="F6F8F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6,8</w:t>
            </w:r>
          </w:p>
        </w:tc>
        <w:tc>
          <w:tcPr>
            <w:tcW w:w="261" w:type="pct"/>
            <w:shd w:val="clear" w:color="000000" w:fill="FAB9B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6,7</w:t>
            </w:r>
          </w:p>
        </w:tc>
        <w:tc>
          <w:tcPr>
            <w:tcW w:w="261" w:type="pct"/>
            <w:shd w:val="clear" w:color="000000" w:fill="FAC6C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8,3</w:t>
            </w:r>
          </w:p>
        </w:tc>
        <w:tc>
          <w:tcPr>
            <w:tcW w:w="261" w:type="pct"/>
            <w:shd w:val="clear" w:color="000000" w:fill="F9A0A2"/>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3,3</w:t>
            </w:r>
          </w:p>
        </w:tc>
        <w:tc>
          <w:tcPr>
            <w:tcW w:w="261" w:type="pct"/>
            <w:shd w:val="clear" w:color="000000" w:fill="FBEDF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6,7</w:t>
            </w:r>
          </w:p>
        </w:tc>
        <w:tc>
          <w:tcPr>
            <w:tcW w:w="356" w:type="pct"/>
            <w:shd w:val="clear" w:color="000000" w:fill="BED1E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215,7</w:t>
            </w:r>
          </w:p>
        </w:tc>
      </w:tr>
      <w:tr w:rsidR="00337CA6" w:rsidRPr="00687F25" w:rsidTr="00AC4501">
        <w:trPr>
          <w:trHeight w:val="227"/>
        </w:trPr>
        <w:tc>
          <w:tcPr>
            <w:tcW w:w="197" w:type="pct"/>
            <w:shd w:val="clear" w:color="000000" w:fill="9DB9DD"/>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18</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proofErr w:type="spellStart"/>
            <w:r w:rsidRPr="00687F25">
              <w:rPr>
                <w:rFonts w:ascii="Arial" w:eastAsia="Times New Roman" w:hAnsi="Arial" w:cs="Arial"/>
                <w:color w:val="000000"/>
                <w:sz w:val="18"/>
                <w:szCs w:val="18"/>
                <w:lang w:eastAsia="nb-NO"/>
              </w:rPr>
              <w:t>Tønsbergregionen</w:t>
            </w:r>
            <w:proofErr w:type="spellEnd"/>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240</w:t>
            </w:r>
          </w:p>
        </w:tc>
        <w:tc>
          <w:tcPr>
            <w:tcW w:w="261" w:type="pct"/>
            <w:shd w:val="clear" w:color="000000" w:fill="B7CBE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18,3</w:t>
            </w:r>
          </w:p>
        </w:tc>
        <w:tc>
          <w:tcPr>
            <w:tcW w:w="261" w:type="pct"/>
            <w:shd w:val="clear" w:color="000000" w:fill="DDE6F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9,2</w:t>
            </w:r>
          </w:p>
        </w:tc>
        <w:tc>
          <w:tcPr>
            <w:tcW w:w="261" w:type="pct"/>
            <w:shd w:val="clear" w:color="000000" w:fill="E0E9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4,2</w:t>
            </w:r>
          </w:p>
        </w:tc>
        <w:tc>
          <w:tcPr>
            <w:tcW w:w="261" w:type="pct"/>
            <w:shd w:val="clear" w:color="000000" w:fill="C7D7E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8,3</w:t>
            </w:r>
          </w:p>
        </w:tc>
        <w:tc>
          <w:tcPr>
            <w:tcW w:w="261" w:type="pct"/>
            <w:shd w:val="clear" w:color="000000" w:fill="FBEFF2"/>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9,6</w:t>
            </w:r>
          </w:p>
        </w:tc>
        <w:tc>
          <w:tcPr>
            <w:tcW w:w="261" w:type="pct"/>
            <w:shd w:val="clear" w:color="000000" w:fill="FCFCF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4,6</w:t>
            </w:r>
          </w:p>
        </w:tc>
        <w:tc>
          <w:tcPr>
            <w:tcW w:w="261" w:type="pct"/>
            <w:shd w:val="clear" w:color="000000" w:fill="FBFAF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7,5</w:t>
            </w:r>
          </w:p>
        </w:tc>
        <w:tc>
          <w:tcPr>
            <w:tcW w:w="261" w:type="pct"/>
            <w:shd w:val="clear" w:color="000000" w:fill="EDF2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7,5</w:t>
            </w:r>
          </w:p>
        </w:tc>
        <w:tc>
          <w:tcPr>
            <w:tcW w:w="261" w:type="pct"/>
            <w:shd w:val="clear" w:color="000000" w:fill="E1E9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16,0</w:t>
            </w:r>
          </w:p>
        </w:tc>
        <w:tc>
          <w:tcPr>
            <w:tcW w:w="261" w:type="pct"/>
            <w:shd w:val="clear" w:color="000000" w:fill="F0F3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14,3</w:t>
            </w:r>
          </w:p>
        </w:tc>
        <w:tc>
          <w:tcPr>
            <w:tcW w:w="261" w:type="pct"/>
            <w:shd w:val="clear" w:color="000000" w:fill="F1F4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10,2</w:t>
            </w:r>
          </w:p>
        </w:tc>
        <w:tc>
          <w:tcPr>
            <w:tcW w:w="261" w:type="pct"/>
            <w:shd w:val="clear" w:color="000000" w:fill="E6EDF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8,6</w:t>
            </w:r>
          </w:p>
        </w:tc>
        <w:tc>
          <w:tcPr>
            <w:tcW w:w="356" w:type="pct"/>
            <w:shd w:val="clear" w:color="000000" w:fill="C1D2E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214,4</w:t>
            </w:r>
          </w:p>
        </w:tc>
      </w:tr>
      <w:tr w:rsidR="00337CA6" w:rsidRPr="00687F25" w:rsidTr="00AC4501">
        <w:trPr>
          <w:trHeight w:val="227"/>
        </w:trPr>
        <w:tc>
          <w:tcPr>
            <w:tcW w:w="197" w:type="pct"/>
            <w:shd w:val="clear" w:color="000000" w:fill="A1BCDF"/>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19</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Oslo</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1475</w:t>
            </w:r>
          </w:p>
        </w:tc>
        <w:tc>
          <w:tcPr>
            <w:tcW w:w="261" w:type="pct"/>
            <w:shd w:val="clear" w:color="000000" w:fill="E5ECF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15,3</w:t>
            </w:r>
          </w:p>
        </w:tc>
        <w:tc>
          <w:tcPr>
            <w:tcW w:w="261" w:type="pct"/>
            <w:shd w:val="clear" w:color="000000" w:fill="85A8D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14,2</w:t>
            </w:r>
          </w:p>
        </w:tc>
        <w:tc>
          <w:tcPr>
            <w:tcW w:w="261" w:type="pct"/>
            <w:shd w:val="clear" w:color="000000" w:fill="DCE6F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4,3</w:t>
            </w:r>
          </w:p>
        </w:tc>
        <w:tc>
          <w:tcPr>
            <w:tcW w:w="261" w:type="pct"/>
            <w:shd w:val="clear" w:color="000000" w:fill="D7E2F2"/>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7,1</w:t>
            </w:r>
          </w:p>
        </w:tc>
        <w:tc>
          <w:tcPr>
            <w:tcW w:w="261" w:type="pct"/>
            <w:shd w:val="clear" w:color="000000" w:fill="FBD9D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8,0</w:t>
            </w:r>
          </w:p>
        </w:tc>
        <w:tc>
          <w:tcPr>
            <w:tcW w:w="261" w:type="pct"/>
            <w:shd w:val="clear" w:color="000000" w:fill="ECF1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5,8</w:t>
            </w:r>
          </w:p>
        </w:tc>
        <w:tc>
          <w:tcPr>
            <w:tcW w:w="261" w:type="pct"/>
            <w:shd w:val="clear" w:color="000000" w:fill="DCE5F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9,6</w:t>
            </w:r>
          </w:p>
        </w:tc>
        <w:tc>
          <w:tcPr>
            <w:tcW w:w="261" w:type="pct"/>
            <w:shd w:val="clear" w:color="000000" w:fill="FBECE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5,6</w:t>
            </w:r>
          </w:p>
        </w:tc>
        <w:tc>
          <w:tcPr>
            <w:tcW w:w="261" w:type="pct"/>
            <w:shd w:val="clear" w:color="000000" w:fill="D8E2F2"/>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17,2</w:t>
            </w:r>
          </w:p>
        </w:tc>
        <w:tc>
          <w:tcPr>
            <w:tcW w:w="261" w:type="pct"/>
            <w:shd w:val="clear" w:color="000000" w:fill="E4EBF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15,4</w:t>
            </w:r>
          </w:p>
        </w:tc>
        <w:tc>
          <w:tcPr>
            <w:tcW w:w="261" w:type="pct"/>
            <w:shd w:val="clear" w:color="000000" w:fill="ECF1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10,9</w:t>
            </w:r>
          </w:p>
        </w:tc>
        <w:tc>
          <w:tcPr>
            <w:tcW w:w="261" w:type="pct"/>
            <w:shd w:val="clear" w:color="000000" w:fill="CCDAE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10,0</w:t>
            </w:r>
          </w:p>
        </w:tc>
        <w:tc>
          <w:tcPr>
            <w:tcW w:w="356" w:type="pct"/>
            <w:shd w:val="clear" w:color="000000" w:fill="C2D4E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213,3</w:t>
            </w:r>
          </w:p>
        </w:tc>
      </w:tr>
      <w:tr w:rsidR="00337CA6" w:rsidRPr="00687F25" w:rsidTr="00AC4501">
        <w:trPr>
          <w:trHeight w:val="227"/>
        </w:trPr>
        <w:tc>
          <w:tcPr>
            <w:tcW w:w="197" w:type="pct"/>
            <w:shd w:val="clear" w:color="000000" w:fill="A5BEE0"/>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20</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proofErr w:type="spellStart"/>
            <w:r w:rsidRPr="00687F25">
              <w:rPr>
                <w:rFonts w:ascii="Arial" w:eastAsia="Times New Roman" w:hAnsi="Arial" w:cs="Arial"/>
                <w:color w:val="000000"/>
                <w:sz w:val="18"/>
                <w:szCs w:val="18"/>
                <w:lang w:eastAsia="nb-NO"/>
              </w:rPr>
              <w:t>Vestviken</w:t>
            </w:r>
            <w:proofErr w:type="spellEnd"/>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85</w:t>
            </w:r>
          </w:p>
        </w:tc>
        <w:tc>
          <w:tcPr>
            <w:tcW w:w="261" w:type="pct"/>
            <w:shd w:val="clear" w:color="000000" w:fill="7AA1D2"/>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22,4</w:t>
            </w:r>
          </w:p>
        </w:tc>
        <w:tc>
          <w:tcPr>
            <w:tcW w:w="261" w:type="pct"/>
            <w:shd w:val="clear" w:color="000000" w:fill="EDF2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8,2</w:t>
            </w:r>
          </w:p>
        </w:tc>
        <w:tc>
          <w:tcPr>
            <w:tcW w:w="261" w:type="pct"/>
            <w:shd w:val="clear" w:color="000000" w:fill="FAFBF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2,9</w:t>
            </w:r>
          </w:p>
        </w:tc>
        <w:tc>
          <w:tcPr>
            <w:tcW w:w="261" w:type="pct"/>
            <w:shd w:val="clear" w:color="000000" w:fill="ABC3E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10,6</w:t>
            </w:r>
          </w:p>
        </w:tc>
        <w:tc>
          <w:tcPr>
            <w:tcW w:w="261" w:type="pct"/>
            <w:shd w:val="clear" w:color="000000" w:fill="FBDCD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8,2</w:t>
            </w:r>
          </w:p>
        </w:tc>
        <w:tc>
          <w:tcPr>
            <w:tcW w:w="261" w:type="pct"/>
            <w:shd w:val="clear" w:color="000000" w:fill="FBDBD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3,5</w:t>
            </w:r>
          </w:p>
        </w:tc>
        <w:tc>
          <w:tcPr>
            <w:tcW w:w="261" w:type="pct"/>
            <w:shd w:val="clear" w:color="000000" w:fill="FAC4C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4,7</w:t>
            </w:r>
          </w:p>
        </w:tc>
        <w:tc>
          <w:tcPr>
            <w:tcW w:w="261" w:type="pct"/>
            <w:shd w:val="clear" w:color="000000" w:fill="FBF2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5,9</w:t>
            </w:r>
          </w:p>
        </w:tc>
        <w:tc>
          <w:tcPr>
            <w:tcW w:w="261" w:type="pct"/>
            <w:shd w:val="clear" w:color="000000" w:fill="F1F4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13,8</w:t>
            </w:r>
          </w:p>
        </w:tc>
        <w:tc>
          <w:tcPr>
            <w:tcW w:w="261" w:type="pct"/>
            <w:shd w:val="clear" w:color="000000" w:fill="DDE7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16,1</w:t>
            </w:r>
          </w:p>
        </w:tc>
        <w:tc>
          <w:tcPr>
            <w:tcW w:w="261" w:type="pct"/>
            <w:shd w:val="clear" w:color="000000" w:fill="F0F4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10,3</w:t>
            </w:r>
          </w:p>
        </w:tc>
        <w:tc>
          <w:tcPr>
            <w:tcW w:w="261" w:type="pct"/>
            <w:shd w:val="clear" w:color="000000" w:fill="C6D6E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10,3</w:t>
            </w:r>
          </w:p>
        </w:tc>
        <w:tc>
          <w:tcPr>
            <w:tcW w:w="356" w:type="pct"/>
            <w:shd w:val="clear" w:color="000000" w:fill="C6D6E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211,4</w:t>
            </w:r>
          </w:p>
        </w:tc>
      </w:tr>
      <w:tr w:rsidR="00337CA6" w:rsidRPr="00687F25" w:rsidTr="00AC4501">
        <w:trPr>
          <w:trHeight w:val="227"/>
        </w:trPr>
        <w:tc>
          <w:tcPr>
            <w:tcW w:w="197" w:type="pct"/>
            <w:shd w:val="clear" w:color="000000" w:fill="E4EBF6"/>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36</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Nedre Romerike</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221</w:t>
            </w:r>
          </w:p>
        </w:tc>
        <w:tc>
          <w:tcPr>
            <w:tcW w:w="261" w:type="pct"/>
            <w:shd w:val="clear" w:color="000000" w:fill="D5E1F2"/>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16,3</w:t>
            </w:r>
          </w:p>
        </w:tc>
        <w:tc>
          <w:tcPr>
            <w:tcW w:w="261" w:type="pct"/>
            <w:shd w:val="clear" w:color="000000" w:fill="EFF3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8,1</w:t>
            </w:r>
          </w:p>
        </w:tc>
        <w:tc>
          <w:tcPr>
            <w:tcW w:w="261" w:type="pct"/>
            <w:shd w:val="clear" w:color="000000" w:fill="DEE7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4,2</w:t>
            </w:r>
          </w:p>
        </w:tc>
        <w:tc>
          <w:tcPr>
            <w:tcW w:w="261" w:type="pct"/>
            <w:shd w:val="clear" w:color="000000" w:fill="FBEAE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3,6</w:t>
            </w:r>
          </w:p>
        </w:tc>
        <w:tc>
          <w:tcPr>
            <w:tcW w:w="261" w:type="pct"/>
            <w:shd w:val="clear" w:color="000000" w:fill="FBF4F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10,0</w:t>
            </w:r>
          </w:p>
        </w:tc>
        <w:tc>
          <w:tcPr>
            <w:tcW w:w="261" w:type="pct"/>
            <w:shd w:val="clear" w:color="000000" w:fill="E4EBF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6,3</w:t>
            </w:r>
          </w:p>
        </w:tc>
        <w:tc>
          <w:tcPr>
            <w:tcW w:w="261" w:type="pct"/>
            <w:shd w:val="clear" w:color="000000" w:fill="FBECE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6,8</w:t>
            </w:r>
          </w:p>
        </w:tc>
        <w:tc>
          <w:tcPr>
            <w:tcW w:w="261" w:type="pct"/>
            <w:shd w:val="clear" w:color="000000" w:fill="F0F4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7,2</w:t>
            </w:r>
          </w:p>
        </w:tc>
        <w:tc>
          <w:tcPr>
            <w:tcW w:w="261" w:type="pct"/>
            <w:shd w:val="clear" w:color="000000" w:fill="FBE5E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10,4</w:t>
            </w:r>
          </w:p>
        </w:tc>
        <w:tc>
          <w:tcPr>
            <w:tcW w:w="261" w:type="pct"/>
            <w:shd w:val="clear" w:color="000000" w:fill="D3DF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17,1</w:t>
            </w:r>
          </w:p>
        </w:tc>
        <w:tc>
          <w:tcPr>
            <w:tcW w:w="261" w:type="pct"/>
            <w:shd w:val="clear" w:color="000000" w:fill="E5ECF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11,7</w:t>
            </w:r>
          </w:p>
        </w:tc>
        <w:tc>
          <w:tcPr>
            <w:tcW w:w="261" w:type="pct"/>
            <w:shd w:val="clear" w:color="000000" w:fill="C5D6E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10,4</w:t>
            </w:r>
          </w:p>
        </w:tc>
        <w:tc>
          <w:tcPr>
            <w:tcW w:w="356" w:type="pct"/>
            <w:shd w:val="clear" w:color="000000" w:fill="F4F6F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184,0</w:t>
            </w:r>
          </w:p>
        </w:tc>
      </w:tr>
      <w:tr w:rsidR="00337CA6" w:rsidRPr="00687F25" w:rsidTr="00AC4501">
        <w:trPr>
          <w:trHeight w:val="227"/>
        </w:trPr>
        <w:tc>
          <w:tcPr>
            <w:tcW w:w="197" w:type="pct"/>
            <w:shd w:val="clear" w:color="000000" w:fill="ECF0F9"/>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38</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Vest-Telemark</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29</w:t>
            </w:r>
          </w:p>
        </w:tc>
        <w:tc>
          <w:tcPr>
            <w:tcW w:w="261" w:type="pct"/>
            <w:shd w:val="clear" w:color="000000" w:fill="FBD7D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10,3</w:t>
            </w:r>
          </w:p>
        </w:tc>
        <w:tc>
          <w:tcPr>
            <w:tcW w:w="261" w:type="pct"/>
            <w:shd w:val="clear" w:color="000000" w:fill="FBF3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6,9</w:t>
            </w:r>
          </w:p>
        </w:tc>
        <w:tc>
          <w:tcPr>
            <w:tcW w:w="261" w:type="pct"/>
            <w:shd w:val="clear" w:color="000000" w:fill="F5F7F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3,1</w:t>
            </w:r>
          </w:p>
        </w:tc>
        <w:tc>
          <w:tcPr>
            <w:tcW w:w="261" w:type="pct"/>
            <w:shd w:val="clear" w:color="000000" w:fill="D9E4F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6,9</w:t>
            </w:r>
          </w:p>
        </w:tc>
        <w:tc>
          <w:tcPr>
            <w:tcW w:w="261" w:type="pct"/>
            <w:shd w:val="clear" w:color="000000" w:fill="FAC9C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6,9</w:t>
            </w:r>
          </w:p>
        </w:tc>
        <w:tc>
          <w:tcPr>
            <w:tcW w:w="261" w:type="pct"/>
            <w:shd w:val="clear" w:color="000000" w:fill="FBD9D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3,4</w:t>
            </w:r>
          </w:p>
        </w:tc>
        <w:tc>
          <w:tcPr>
            <w:tcW w:w="261" w:type="pct"/>
            <w:shd w:val="clear" w:color="000000" w:fill="5A8AC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17,2</w:t>
            </w:r>
          </w:p>
        </w:tc>
        <w:tc>
          <w:tcPr>
            <w:tcW w:w="261" w:type="pct"/>
            <w:shd w:val="clear" w:color="000000" w:fill="CAD9E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10,3</w:t>
            </w:r>
          </w:p>
        </w:tc>
        <w:tc>
          <w:tcPr>
            <w:tcW w:w="261" w:type="pct"/>
            <w:shd w:val="clear" w:color="000000" w:fill="F1F4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13,8</w:t>
            </w:r>
          </w:p>
        </w:tc>
        <w:tc>
          <w:tcPr>
            <w:tcW w:w="261" w:type="pct"/>
            <w:shd w:val="clear" w:color="000000" w:fill="F98F9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3,4</w:t>
            </w:r>
          </w:p>
        </w:tc>
        <w:tc>
          <w:tcPr>
            <w:tcW w:w="261" w:type="pct"/>
            <w:shd w:val="clear" w:color="000000" w:fill="FBDBD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6,9</w:t>
            </w:r>
          </w:p>
        </w:tc>
        <w:tc>
          <w:tcPr>
            <w:tcW w:w="261" w:type="pct"/>
            <w:shd w:val="clear" w:color="000000" w:fill="86A9D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13,8</w:t>
            </w:r>
          </w:p>
        </w:tc>
        <w:tc>
          <w:tcPr>
            <w:tcW w:w="356" w:type="pct"/>
            <w:shd w:val="clear" w:color="000000" w:fill="F8F9F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181,5</w:t>
            </w:r>
          </w:p>
        </w:tc>
      </w:tr>
      <w:tr w:rsidR="00337CA6" w:rsidRPr="00687F25" w:rsidTr="00AC4501">
        <w:trPr>
          <w:trHeight w:val="227"/>
        </w:trPr>
        <w:tc>
          <w:tcPr>
            <w:tcW w:w="197" w:type="pct"/>
            <w:shd w:val="clear" w:color="000000" w:fill="F4F6FC"/>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40</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Halden</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41</w:t>
            </w:r>
          </w:p>
        </w:tc>
        <w:tc>
          <w:tcPr>
            <w:tcW w:w="261" w:type="pct"/>
            <w:shd w:val="clear" w:color="000000" w:fill="EEF3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14,6</w:t>
            </w:r>
          </w:p>
        </w:tc>
        <w:tc>
          <w:tcPr>
            <w:tcW w:w="261" w:type="pct"/>
            <w:shd w:val="clear" w:color="000000" w:fill="D3DF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9,8</w:t>
            </w:r>
          </w:p>
        </w:tc>
        <w:tc>
          <w:tcPr>
            <w:tcW w:w="261" w:type="pct"/>
            <w:shd w:val="clear" w:color="000000" w:fill="FAD5D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2,0</w:t>
            </w:r>
          </w:p>
        </w:tc>
        <w:tc>
          <w:tcPr>
            <w:tcW w:w="261" w:type="pct"/>
            <w:shd w:val="clear" w:color="000000" w:fill="F3F6F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4,9</w:t>
            </w:r>
          </w:p>
        </w:tc>
        <w:tc>
          <w:tcPr>
            <w:tcW w:w="261" w:type="pct"/>
            <w:shd w:val="clear" w:color="000000" w:fill="FBF1F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9,8</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BF6F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7,3</w:t>
            </w:r>
          </w:p>
        </w:tc>
        <w:tc>
          <w:tcPr>
            <w:tcW w:w="261" w:type="pct"/>
            <w:shd w:val="clear" w:color="000000" w:fill="D1DEF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9,8</w:t>
            </w:r>
          </w:p>
        </w:tc>
        <w:tc>
          <w:tcPr>
            <w:tcW w:w="261" w:type="pct"/>
            <w:shd w:val="clear" w:color="000000" w:fill="FCFCF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12,2</w:t>
            </w:r>
          </w:p>
        </w:tc>
        <w:tc>
          <w:tcPr>
            <w:tcW w:w="261" w:type="pct"/>
            <w:shd w:val="clear" w:color="000000" w:fill="EDF1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14,6</w:t>
            </w:r>
          </w:p>
        </w:tc>
        <w:tc>
          <w:tcPr>
            <w:tcW w:w="261" w:type="pct"/>
            <w:shd w:val="clear" w:color="000000" w:fill="FBE2E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7,3</w:t>
            </w:r>
          </w:p>
        </w:tc>
        <w:tc>
          <w:tcPr>
            <w:tcW w:w="261" w:type="pct"/>
            <w:shd w:val="clear" w:color="000000" w:fill="FBFAF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7,3</w:t>
            </w:r>
          </w:p>
        </w:tc>
        <w:tc>
          <w:tcPr>
            <w:tcW w:w="356" w:type="pct"/>
            <w:shd w:val="clear" w:color="000000" w:fill="FCFCF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178,9</w:t>
            </w:r>
          </w:p>
        </w:tc>
      </w:tr>
      <w:tr w:rsidR="00337CA6" w:rsidRPr="00687F25" w:rsidTr="00AC4501">
        <w:trPr>
          <w:trHeight w:val="227"/>
        </w:trPr>
        <w:tc>
          <w:tcPr>
            <w:tcW w:w="197" w:type="pct"/>
            <w:shd w:val="clear" w:color="000000" w:fill="F8F9FD"/>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41</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proofErr w:type="spellStart"/>
            <w:r w:rsidRPr="00687F25">
              <w:rPr>
                <w:rFonts w:ascii="Arial" w:eastAsia="Times New Roman" w:hAnsi="Arial" w:cs="Arial"/>
                <w:color w:val="000000"/>
                <w:sz w:val="18"/>
                <w:szCs w:val="18"/>
                <w:lang w:eastAsia="nb-NO"/>
              </w:rPr>
              <w:t>Mosseregionen</w:t>
            </w:r>
            <w:proofErr w:type="spellEnd"/>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101</w:t>
            </w:r>
          </w:p>
        </w:tc>
        <w:tc>
          <w:tcPr>
            <w:tcW w:w="261" w:type="pct"/>
            <w:shd w:val="clear" w:color="000000" w:fill="FAFBF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13,9</w:t>
            </w:r>
          </w:p>
        </w:tc>
        <w:tc>
          <w:tcPr>
            <w:tcW w:w="261" w:type="pct"/>
            <w:shd w:val="clear" w:color="000000" w:fill="E1E9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8,9</w:t>
            </w:r>
          </w:p>
        </w:tc>
        <w:tc>
          <w:tcPr>
            <w:tcW w:w="261" w:type="pct"/>
            <w:shd w:val="clear" w:color="000000" w:fill="FAC1C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w:t>
            </w:r>
          </w:p>
        </w:tc>
        <w:tc>
          <w:tcPr>
            <w:tcW w:w="261" w:type="pct"/>
            <w:shd w:val="clear" w:color="000000" w:fill="CDDBE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7,9</w:t>
            </w:r>
          </w:p>
        </w:tc>
        <w:tc>
          <w:tcPr>
            <w:tcW w:w="261" w:type="pct"/>
            <w:shd w:val="clear" w:color="000000" w:fill="FBE6E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8,9</w:t>
            </w:r>
          </w:p>
        </w:tc>
        <w:tc>
          <w:tcPr>
            <w:tcW w:w="261" w:type="pct"/>
            <w:shd w:val="clear" w:color="000000" w:fill="FAC9C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3,0</w:t>
            </w:r>
          </w:p>
        </w:tc>
        <w:tc>
          <w:tcPr>
            <w:tcW w:w="261" w:type="pct"/>
            <w:shd w:val="clear" w:color="000000" w:fill="FBEFF2"/>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6,9</w:t>
            </w:r>
          </w:p>
        </w:tc>
        <w:tc>
          <w:tcPr>
            <w:tcW w:w="261" w:type="pct"/>
            <w:shd w:val="clear" w:color="000000" w:fill="FBF4F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5,9</w:t>
            </w:r>
          </w:p>
        </w:tc>
        <w:tc>
          <w:tcPr>
            <w:tcW w:w="261" w:type="pct"/>
            <w:shd w:val="clear" w:color="000000" w:fill="EAF0F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14,7</w:t>
            </w:r>
          </w:p>
        </w:tc>
        <w:tc>
          <w:tcPr>
            <w:tcW w:w="261" w:type="pct"/>
            <w:shd w:val="clear" w:color="000000" w:fill="FBECE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11,8</w:t>
            </w:r>
          </w:p>
        </w:tc>
        <w:tc>
          <w:tcPr>
            <w:tcW w:w="261" w:type="pct"/>
            <w:shd w:val="clear" w:color="000000" w:fill="FBDBD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6,9</w:t>
            </w:r>
          </w:p>
        </w:tc>
        <w:tc>
          <w:tcPr>
            <w:tcW w:w="261" w:type="pct"/>
            <w:shd w:val="clear" w:color="000000" w:fill="D0DDF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9,8</w:t>
            </w:r>
          </w:p>
        </w:tc>
        <w:tc>
          <w:tcPr>
            <w:tcW w:w="356" w:type="pct"/>
            <w:shd w:val="clear" w:color="000000" w:fill="FCFCF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178,9</w:t>
            </w:r>
          </w:p>
        </w:tc>
      </w:tr>
      <w:tr w:rsidR="00337CA6" w:rsidRPr="00687F25" w:rsidTr="00AC4501">
        <w:trPr>
          <w:trHeight w:val="227"/>
        </w:trPr>
        <w:tc>
          <w:tcPr>
            <w:tcW w:w="197" w:type="pct"/>
            <w:shd w:val="clear" w:color="000000" w:fill="FCFCFF"/>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42</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Nedre Glomma</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258</w:t>
            </w:r>
          </w:p>
        </w:tc>
        <w:tc>
          <w:tcPr>
            <w:tcW w:w="261" w:type="pct"/>
            <w:shd w:val="clear" w:color="000000" w:fill="F9FAF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14,0</w:t>
            </w:r>
          </w:p>
        </w:tc>
        <w:tc>
          <w:tcPr>
            <w:tcW w:w="261" w:type="pct"/>
            <w:shd w:val="clear" w:color="000000" w:fill="FCFCF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7,4</w:t>
            </w:r>
          </w:p>
        </w:tc>
        <w:tc>
          <w:tcPr>
            <w:tcW w:w="261" w:type="pct"/>
            <w:shd w:val="clear" w:color="000000" w:fill="DCE5F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4,4</w:t>
            </w:r>
          </w:p>
        </w:tc>
        <w:tc>
          <w:tcPr>
            <w:tcW w:w="261" w:type="pct"/>
            <w:shd w:val="clear" w:color="000000" w:fill="FBE5E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3,5</w:t>
            </w:r>
          </w:p>
        </w:tc>
        <w:tc>
          <w:tcPr>
            <w:tcW w:w="261" w:type="pct"/>
            <w:shd w:val="clear" w:color="000000" w:fill="F9FAF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10,9</w:t>
            </w:r>
          </w:p>
        </w:tc>
        <w:tc>
          <w:tcPr>
            <w:tcW w:w="261" w:type="pct"/>
            <w:shd w:val="clear" w:color="000000" w:fill="F0F4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5,4</w:t>
            </w:r>
          </w:p>
        </w:tc>
        <w:tc>
          <w:tcPr>
            <w:tcW w:w="261" w:type="pct"/>
            <w:shd w:val="clear" w:color="000000" w:fill="D3DF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10,1</w:t>
            </w:r>
          </w:p>
        </w:tc>
        <w:tc>
          <w:tcPr>
            <w:tcW w:w="261" w:type="pct"/>
            <w:shd w:val="clear" w:color="000000" w:fill="FACCC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4,3</w:t>
            </w:r>
          </w:p>
        </w:tc>
        <w:tc>
          <w:tcPr>
            <w:tcW w:w="261" w:type="pct"/>
            <w:shd w:val="clear" w:color="000000" w:fill="EBF0F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14,6</w:t>
            </w:r>
          </w:p>
        </w:tc>
        <w:tc>
          <w:tcPr>
            <w:tcW w:w="261" w:type="pct"/>
            <w:shd w:val="clear" w:color="000000" w:fill="E1E9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15,8</w:t>
            </w:r>
          </w:p>
        </w:tc>
        <w:tc>
          <w:tcPr>
            <w:tcW w:w="261" w:type="pct"/>
            <w:shd w:val="clear" w:color="000000" w:fill="F0F3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10,4</w:t>
            </w:r>
          </w:p>
        </w:tc>
        <w:tc>
          <w:tcPr>
            <w:tcW w:w="261" w:type="pct"/>
            <w:shd w:val="clear" w:color="000000" w:fill="E1E9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8,8</w:t>
            </w:r>
          </w:p>
        </w:tc>
        <w:tc>
          <w:tcPr>
            <w:tcW w:w="356" w:type="pct"/>
            <w:shd w:val="clear" w:color="000000" w:fill="FBFBF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178,7</w:t>
            </w:r>
          </w:p>
        </w:tc>
      </w:tr>
      <w:tr w:rsidR="00337CA6" w:rsidRPr="00687F25" w:rsidTr="00AC4501">
        <w:trPr>
          <w:trHeight w:val="227"/>
        </w:trPr>
        <w:tc>
          <w:tcPr>
            <w:tcW w:w="197" w:type="pct"/>
            <w:shd w:val="clear" w:color="000000" w:fill="FCF9FC"/>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43</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Follo</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162</w:t>
            </w:r>
          </w:p>
        </w:tc>
        <w:tc>
          <w:tcPr>
            <w:tcW w:w="261" w:type="pct"/>
            <w:shd w:val="clear" w:color="000000" w:fill="FBFAF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13,6</w:t>
            </w:r>
          </w:p>
        </w:tc>
        <w:tc>
          <w:tcPr>
            <w:tcW w:w="261" w:type="pct"/>
            <w:shd w:val="clear" w:color="000000" w:fill="D0DEF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9,9</w:t>
            </w:r>
          </w:p>
        </w:tc>
        <w:tc>
          <w:tcPr>
            <w:tcW w:w="261" w:type="pct"/>
            <w:shd w:val="clear" w:color="000000" w:fill="FBF5F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2,6</w:t>
            </w:r>
          </w:p>
        </w:tc>
        <w:tc>
          <w:tcPr>
            <w:tcW w:w="261" w:type="pct"/>
            <w:shd w:val="clear" w:color="000000" w:fill="FBEDE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3,7</w:t>
            </w:r>
          </w:p>
        </w:tc>
        <w:tc>
          <w:tcPr>
            <w:tcW w:w="261" w:type="pct"/>
            <w:shd w:val="clear" w:color="000000" w:fill="FCFCF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10,5</w:t>
            </w:r>
          </w:p>
        </w:tc>
        <w:tc>
          <w:tcPr>
            <w:tcW w:w="261" w:type="pct"/>
            <w:shd w:val="clear" w:color="000000" w:fill="DEE7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6,8</w:t>
            </w:r>
          </w:p>
        </w:tc>
        <w:tc>
          <w:tcPr>
            <w:tcW w:w="261" w:type="pct"/>
            <w:shd w:val="clear" w:color="000000" w:fill="EBF0F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8,6</w:t>
            </w:r>
          </w:p>
        </w:tc>
        <w:tc>
          <w:tcPr>
            <w:tcW w:w="261" w:type="pct"/>
            <w:shd w:val="clear" w:color="000000" w:fill="F6F8F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6,8</w:t>
            </w:r>
          </w:p>
        </w:tc>
        <w:tc>
          <w:tcPr>
            <w:tcW w:w="261" w:type="pct"/>
            <w:shd w:val="clear" w:color="000000" w:fill="EEF2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14,2</w:t>
            </w:r>
          </w:p>
        </w:tc>
        <w:tc>
          <w:tcPr>
            <w:tcW w:w="261" w:type="pct"/>
            <w:shd w:val="clear" w:color="000000" w:fill="FBF3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12,3</w:t>
            </w:r>
          </w:p>
        </w:tc>
        <w:tc>
          <w:tcPr>
            <w:tcW w:w="261" w:type="pct"/>
            <w:shd w:val="clear" w:color="000000" w:fill="FBEE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8,0</w:t>
            </w:r>
          </w:p>
        </w:tc>
        <w:tc>
          <w:tcPr>
            <w:tcW w:w="261" w:type="pct"/>
            <w:shd w:val="clear" w:color="000000" w:fill="FBE3E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6,2</w:t>
            </w:r>
          </w:p>
        </w:tc>
        <w:tc>
          <w:tcPr>
            <w:tcW w:w="356" w:type="pct"/>
            <w:shd w:val="clear" w:color="000000" w:fill="FBF9F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176,9</w:t>
            </w:r>
          </w:p>
        </w:tc>
      </w:tr>
      <w:tr w:rsidR="00337CA6" w:rsidRPr="00687F25" w:rsidTr="00AC4501">
        <w:trPr>
          <w:trHeight w:val="227"/>
        </w:trPr>
        <w:tc>
          <w:tcPr>
            <w:tcW w:w="197" w:type="pct"/>
            <w:shd w:val="clear" w:color="000000" w:fill="FCF2F5"/>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45</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Midt-Buskerud</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27</w:t>
            </w:r>
          </w:p>
        </w:tc>
        <w:tc>
          <w:tcPr>
            <w:tcW w:w="261" w:type="pct"/>
            <w:shd w:val="clear" w:color="000000" w:fill="ECF1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14,8</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D3DF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7,4</w:t>
            </w:r>
          </w:p>
        </w:tc>
        <w:tc>
          <w:tcPr>
            <w:tcW w:w="261" w:type="pct"/>
            <w:shd w:val="clear" w:color="000000" w:fill="BCCFE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18,5</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9B0B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3,7</w:t>
            </w:r>
          </w:p>
        </w:tc>
        <w:tc>
          <w:tcPr>
            <w:tcW w:w="261" w:type="pct"/>
            <w:shd w:val="clear" w:color="000000" w:fill="EEF3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7,4</w:t>
            </w:r>
          </w:p>
        </w:tc>
        <w:tc>
          <w:tcPr>
            <w:tcW w:w="261" w:type="pct"/>
            <w:shd w:val="clear" w:color="000000" w:fill="E9EFF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14,8</w:t>
            </w:r>
          </w:p>
        </w:tc>
        <w:tc>
          <w:tcPr>
            <w:tcW w:w="261" w:type="pct"/>
            <w:shd w:val="clear" w:color="000000" w:fill="EBF0F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14,8</w:t>
            </w:r>
          </w:p>
        </w:tc>
        <w:tc>
          <w:tcPr>
            <w:tcW w:w="261" w:type="pct"/>
            <w:shd w:val="clear" w:color="000000" w:fill="FBE4E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7,4</w:t>
            </w:r>
          </w:p>
        </w:tc>
        <w:tc>
          <w:tcPr>
            <w:tcW w:w="261" w:type="pct"/>
            <w:shd w:val="clear" w:color="000000" w:fill="FAB2B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3,7</w:t>
            </w:r>
          </w:p>
        </w:tc>
        <w:tc>
          <w:tcPr>
            <w:tcW w:w="356" w:type="pct"/>
            <w:shd w:val="clear" w:color="000000" w:fill="FBF4F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172,2</w:t>
            </w:r>
          </w:p>
        </w:tc>
      </w:tr>
      <w:tr w:rsidR="00337CA6" w:rsidRPr="00687F25" w:rsidTr="00AC4501">
        <w:trPr>
          <w:trHeight w:val="227"/>
        </w:trPr>
        <w:tc>
          <w:tcPr>
            <w:tcW w:w="197" w:type="pct"/>
            <w:shd w:val="clear" w:color="000000" w:fill="FCEBED"/>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47</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Indre Østfold</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68</w:t>
            </w:r>
          </w:p>
        </w:tc>
        <w:tc>
          <w:tcPr>
            <w:tcW w:w="261" w:type="pct"/>
            <w:shd w:val="clear" w:color="000000" w:fill="ABC3E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19,1</w:t>
            </w:r>
          </w:p>
        </w:tc>
        <w:tc>
          <w:tcPr>
            <w:tcW w:w="261" w:type="pct"/>
            <w:shd w:val="clear" w:color="000000" w:fill="F9A3A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2,9</w:t>
            </w:r>
          </w:p>
        </w:tc>
        <w:tc>
          <w:tcPr>
            <w:tcW w:w="261" w:type="pct"/>
            <w:shd w:val="clear" w:color="000000" w:fill="F9ABA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1,3</w:t>
            </w:r>
          </w:p>
        </w:tc>
        <w:tc>
          <w:tcPr>
            <w:tcW w:w="261" w:type="pct"/>
            <w:shd w:val="clear" w:color="000000" w:fill="F99D9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1,5</w:t>
            </w:r>
          </w:p>
        </w:tc>
        <w:tc>
          <w:tcPr>
            <w:tcW w:w="261" w:type="pct"/>
            <w:shd w:val="clear" w:color="000000" w:fill="FBF9F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10,3</w:t>
            </w:r>
          </w:p>
        </w:tc>
        <w:tc>
          <w:tcPr>
            <w:tcW w:w="261" w:type="pct"/>
            <w:shd w:val="clear" w:color="000000" w:fill="EAF0F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5,9</w:t>
            </w:r>
          </w:p>
        </w:tc>
        <w:tc>
          <w:tcPr>
            <w:tcW w:w="261" w:type="pct"/>
            <w:shd w:val="clear" w:color="000000" w:fill="F9A1A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2,9</w:t>
            </w:r>
          </w:p>
        </w:tc>
        <w:tc>
          <w:tcPr>
            <w:tcW w:w="261" w:type="pct"/>
            <w:shd w:val="clear" w:color="000000" w:fill="EFF3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7,4</w:t>
            </w:r>
          </w:p>
        </w:tc>
        <w:tc>
          <w:tcPr>
            <w:tcW w:w="261" w:type="pct"/>
            <w:shd w:val="clear" w:color="000000" w:fill="D5E0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17,6</w:t>
            </w:r>
          </w:p>
        </w:tc>
        <w:tc>
          <w:tcPr>
            <w:tcW w:w="261" w:type="pct"/>
            <w:shd w:val="clear" w:color="000000" w:fill="AEC5E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20,6</w:t>
            </w:r>
          </w:p>
        </w:tc>
        <w:tc>
          <w:tcPr>
            <w:tcW w:w="261" w:type="pct"/>
            <w:shd w:val="clear" w:color="000000" w:fill="FCFCF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8,8</w:t>
            </w:r>
          </w:p>
        </w:tc>
        <w:tc>
          <w:tcPr>
            <w:tcW w:w="261" w:type="pct"/>
            <w:shd w:val="clear" w:color="000000" w:fill="E2EA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8,8</w:t>
            </w:r>
          </w:p>
        </w:tc>
        <w:tc>
          <w:tcPr>
            <w:tcW w:w="356" w:type="pct"/>
            <w:shd w:val="clear" w:color="000000" w:fill="FBF3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171,2</w:t>
            </w:r>
          </w:p>
        </w:tc>
      </w:tr>
      <w:tr w:rsidR="00337CA6" w:rsidRPr="00687F25" w:rsidTr="00AC4501">
        <w:trPr>
          <w:trHeight w:val="227"/>
        </w:trPr>
        <w:tc>
          <w:tcPr>
            <w:tcW w:w="197" w:type="pct"/>
            <w:shd w:val="clear" w:color="000000" w:fill="FCE7EA"/>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48</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Lillehammerregionen</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84</w:t>
            </w:r>
          </w:p>
        </w:tc>
        <w:tc>
          <w:tcPr>
            <w:tcW w:w="261" w:type="pct"/>
            <w:shd w:val="clear" w:color="000000" w:fill="FBDBD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10,7</w:t>
            </w:r>
          </w:p>
        </w:tc>
        <w:tc>
          <w:tcPr>
            <w:tcW w:w="261" w:type="pct"/>
            <w:shd w:val="clear" w:color="000000" w:fill="C2D3E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10,7</w:t>
            </w:r>
          </w:p>
        </w:tc>
        <w:tc>
          <w:tcPr>
            <w:tcW w:w="261" w:type="pct"/>
            <w:shd w:val="clear" w:color="000000" w:fill="F99DA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w:t>
            </w:r>
          </w:p>
        </w:tc>
        <w:tc>
          <w:tcPr>
            <w:tcW w:w="261" w:type="pct"/>
            <w:shd w:val="clear" w:color="000000" w:fill="FBE8E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3,6</w:t>
            </w:r>
          </w:p>
        </w:tc>
        <w:tc>
          <w:tcPr>
            <w:tcW w:w="261" w:type="pct"/>
            <w:shd w:val="clear" w:color="000000" w:fill="F1F4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11,9</w:t>
            </w:r>
          </w:p>
        </w:tc>
        <w:tc>
          <w:tcPr>
            <w:tcW w:w="261" w:type="pct"/>
            <w:shd w:val="clear" w:color="000000" w:fill="FBDDE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3,6</w:t>
            </w:r>
          </w:p>
        </w:tc>
        <w:tc>
          <w:tcPr>
            <w:tcW w:w="261" w:type="pct"/>
            <w:shd w:val="clear" w:color="000000" w:fill="DCE6F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9,5</w:t>
            </w:r>
          </w:p>
        </w:tc>
        <w:tc>
          <w:tcPr>
            <w:tcW w:w="261" w:type="pct"/>
            <w:shd w:val="clear" w:color="000000" w:fill="E3EBF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8,3</w:t>
            </w:r>
          </w:p>
        </w:tc>
        <w:tc>
          <w:tcPr>
            <w:tcW w:w="261" w:type="pct"/>
            <w:shd w:val="clear" w:color="000000" w:fill="F8F9F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12,8</w:t>
            </w:r>
          </w:p>
        </w:tc>
        <w:tc>
          <w:tcPr>
            <w:tcW w:w="261" w:type="pct"/>
            <w:shd w:val="clear" w:color="000000" w:fill="FBF8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12,8</w:t>
            </w:r>
          </w:p>
        </w:tc>
        <w:tc>
          <w:tcPr>
            <w:tcW w:w="261" w:type="pct"/>
            <w:shd w:val="clear" w:color="000000" w:fill="F9FAF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9,3</w:t>
            </w:r>
          </w:p>
        </w:tc>
        <w:tc>
          <w:tcPr>
            <w:tcW w:w="261" w:type="pct"/>
            <w:shd w:val="clear" w:color="000000" w:fill="EEF3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8,1</w:t>
            </w:r>
          </w:p>
        </w:tc>
        <w:tc>
          <w:tcPr>
            <w:tcW w:w="356" w:type="pct"/>
            <w:shd w:val="clear" w:color="000000" w:fill="FBF2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170,1</w:t>
            </w:r>
          </w:p>
        </w:tc>
      </w:tr>
      <w:tr w:rsidR="00337CA6" w:rsidRPr="00687F25" w:rsidTr="00AC4501">
        <w:trPr>
          <w:trHeight w:val="227"/>
        </w:trPr>
        <w:tc>
          <w:tcPr>
            <w:tcW w:w="197" w:type="pct"/>
            <w:shd w:val="clear" w:color="000000" w:fill="FCE0E3"/>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50</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Hamarregionen</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198</w:t>
            </w:r>
          </w:p>
        </w:tc>
        <w:tc>
          <w:tcPr>
            <w:tcW w:w="261" w:type="pct"/>
            <w:shd w:val="clear" w:color="000000" w:fill="FAD5D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10,1</w:t>
            </w:r>
          </w:p>
        </w:tc>
        <w:tc>
          <w:tcPr>
            <w:tcW w:w="261" w:type="pct"/>
            <w:shd w:val="clear" w:color="000000" w:fill="E7EDF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8,6</w:t>
            </w:r>
          </w:p>
        </w:tc>
        <w:tc>
          <w:tcPr>
            <w:tcW w:w="261" w:type="pct"/>
            <w:shd w:val="clear" w:color="000000" w:fill="F6F8F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3,1</w:t>
            </w:r>
          </w:p>
        </w:tc>
        <w:tc>
          <w:tcPr>
            <w:tcW w:w="261" w:type="pct"/>
            <w:shd w:val="clear" w:color="000000" w:fill="F87B7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0,5</w:t>
            </w:r>
          </w:p>
        </w:tc>
        <w:tc>
          <w:tcPr>
            <w:tcW w:w="261" w:type="pct"/>
            <w:shd w:val="clear" w:color="000000" w:fill="FBE1E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8,6</w:t>
            </w:r>
          </w:p>
        </w:tc>
        <w:tc>
          <w:tcPr>
            <w:tcW w:w="261" w:type="pct"/>
            <w:shd w:val="clear" w:color="000000" w:fill="D4E0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7,6</w:t>
            </w:r>
          </w:p>
        </w:tc>
        <w:tc>
          <w:tcPr>
            <w:tcW w:w="261" w:type="pct"/>
            <w:shd w:val="clear" w:color="000000" w:fill="DBE5F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9,6</w:t>
            </w:r>
          </w:p>
        </w:tc>
        <w:tc>
          <w:tcPr>
            <w:tcW w:w="261" w:type="pct"/>
            <w:shd w:val="clear" w:color="000000" w:fill="DAE4F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9,1</w:t>
            </w:r>
          </w:p>
        </w:tc>
        <w:tc>
          <w:tcPr>
            <w:tcW w:w="261" w:type="pct"/>
            <w:shd w:val="clear" w:color="000000" w:fill="F3F6F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13,5</w:t>
            </w:r>
          </w:p>
        </w:tc>
        <w:tc>
          <w:tcPr>
            <w:tcW w:w="261" w:type="pct"/>
            <w:shd w:val="clear" w:color="000000" w:fill="F3F6F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14,0</w:t>
            </w:r>
          </w:p>
        </w:tc>
        <w:tc>
          <w:tcPr>
            <w:tcW w:w="261" w:type="pct"/>
            <w:shd w:val="clear" w:color="000000" w:fill="DAE4F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13,0</w:t>
            </w:r>
          </w:p>
        </w:tc>
        <w:tc>
          <w:tcPr>
            <w:tcW w:w="261" w:type="pct"/>
            <w:shd w:val="clear" w:color="000000" w:fill="DFE7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9,0</w:t>
            </w:r>
          </w:p>
        </w:tc>
        <w:tc>
          <w:tcPr>
            <w:tcW w:w="356" w:type="pct"/>
            <w:shd w:val="clear" w:color="000000" w:fill="FBECE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165,4</w:t>
            </w:r>
          </w:p>
        </w:tc>
      </w:tr>
      <w:tr w:rsidR="00337CA6" w:rsidRPr="00687F25" w:rsidTr="00AC4501">
        <w:trPr>
          <w:trHeight w:val="227"/>
        </w:trPr>
        <w:tc>
          <w:tcPr>
            <w:tcW w:w="197" w:type="pct"/>
            <w:shd w:val="clear" w:color="000000" w:fill="FCD9DB"/>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52</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Hadeland</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25</w:t>
            </w:r>
          </w:p>
        </w:tc>
        <w:tc>
          <w:tcPr>
            <w:tcW w:w="261" w:type="pct"/>
            <w:shd w:val="clear" w:color="000000" w:fill="FBE9E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12,0</w:t>
            </w:r>
          </w:p>
        </w:tc>
        <w:tc>
          <w:tcPr>
            <w:tcW w:w="261" w:type="pct"/>
            <w:shd w:val="clear" w:color="000000" w:fill="6693C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16,0</w:t>
            </w:r>
          </w:p>
        </w:tc>
        <w:tc>
          <w:tcPr>
            <w:tcW w:w="261" w:type="pct"/>
            <w:shd w:val="clear" w:color="000000" w:fill="5A8AC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10,7</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9A1A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4,0</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B3C8E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12,0</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9999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4,0</w:t>
            </w:r>
          </w:p>
        </w:tc>
        <w:tc>
          <w:tcPr>
            <w:tcW w:w="261" w:type="pct"/>
            <w:shd w:val="clear" w:color="000000" w:fill="8AACD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24,0</w:t>
            </w:r>
          </w:p>
        </w:tc>
        <w:tc>
          <w:tcPr>
            <w:tcW w:w="261" w:type="pct"/>
            <w:shd w:val="clear" w:color="000000" w:fill="E2EA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12,0</w:t>
            </w:r>
          </w:p>
        </w:tc>
        <w:tc>
          <w:tcPr>
            <w:tcW w:w="261" w:type="pct"/>
            <w:shd w:val="clear" w:color="000000" w:fill="F1F4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8,0</w:t>
            </w:r>
          </w:p>
        </w:tc>
        <w:tc>
          <w:tcPr>
            <w:tcW w:w="356" w:type="pct"/>
            <w:shd w:val="clear" w:color="000000" w:fill="FBE7E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160,9</w:t>
            </w:r>
          </w:p>
        </w:tc>
      </w:tr>
      <w:tr w:rsidR="00337CA6" w:rsidRPr="00687F25" w:rsidTr="00AC4501">
        <w:trPr>
          <w:trHeight w:val="227"/>
        </w:trPr>
        <w:tc>
          <w:tcPr>
            <w:tcW w:w="197" w:type="pct"/>
            <w:shd w:val="clear" w:color="000000" w:fill="FBD1D4"/>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54</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Drammensregionen</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237</w:t>
            </w:r>
          </w:p>
        </w:tc>
        <w:tc>
          <w:tcPr>
            <w:tcW w:w="261" w:type="pct"/>
            <w:shd w:val="clear" w:color="000000" w:fill="FBF0F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12,7</w:t>
            </w:r>
          </w:p>
        </w:tc>
        <w:tc>
          <w:tcPr>
            <w:tcW w:w="261" w:type="pct"/>
            <w:shd w:val="clear" w:color="000000" w:fill="DBE5F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9,3</w:t>
            </w:r>
          </w:p>
        </w:tc>
        <w:tc>
          <w:tcPr>
            <w:tcW w:w="261" w:type="pct"/>
            <w:shd w:val="clear" w:color="000000" w:fill="F2F5F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3,3</w:t>
            </w:r>
          </w:p>
        </w:tc>
        <w:tc>
          <w:tcPr>
            <w:tcW w:w="261" w:type="pct"/>
            <w:shd w:val="clear" w:color="000000" w:fill="FBF0F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3,8</w:t>
            </w:r>
          </w:p>
        </w:tc>
        <w:tc>
          <w:tcPr>
            <w:tcW w:w="261" w:type="pct"/>
            <w:shd w:val="clear" w:color="000000" w:fill="FAD3D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7,6</w:t>
            </w:r>
          </w:p>
        </w:tc>
        <w:tc>
          <w:tcPr>
            <w:tcW w:w="261" w:type="pct"/>
            <w:shd w:val="clear" w:color="000000" w:fill="FAC9C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3,0</w:t>
            </w:r>
          </w:p>
        </w:tc>
        <w:tc>
          <w:tcPr>
            <w:tcW w:w="261" w:type="pct"/>
            <w:shd w:val="clear" w:color="000000" w:fill="FBDBD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5,9</w:t>
            </w:r>
          </w:p>
        </w:tc>
        <w:tc>
          <w:tcPr>
            <w:tcW w:w="261" w:type="pct"/>
            <w:shd w:val="clear" w:color="000000" w:fill="FAD5D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4,6</w:t>
            </w:r>
          </w:p>
        </w:tc>
        <w:tc>
          <w:tcPr>
            <w:tcW w:w="261" w:type="pct"/>
            <w:shd w:val="clear" w:color="000000" w:fill="FBF5F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11,7</w:t>
            </w:r>
          </w:p>
        </w:tc>
        <w:tc>
          <w:tcPr>
            <w:tcW w:w="261" w:type="pct"/>
            <w:shd w:val="clear" w:color="000000" w:fill="EDF2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14,6</w:t>
            </w:r>
          </w:p>
        </w:tc>
        <w:tc>
          <w:tcPr>
            <w:tcW w:w="261" w:type="pct"/>
            <w:shd w:val="clear" w:color="000000" w:fill="EFF3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10,4</w:t>
            </w:r>
          </w:p>
        </w:tc>
        <w:tc>
          <w:tcPr>
            <w:tcW w:w="261" w:type="pct"/>
            <w:shd w:val="clear" w:color="000000" w:fill="E3EBF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8,8</w:t>
            </w:r>
          </w:p>
        </w:tc>
        <w:tc>
          <w:tcPr>
            <w:tcW w:w="356" w:type="pct"/>
            <w:shd w:val="clear" w:color="000000" w:fill="FBE3E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157,7</w:t>
            </w:r>
          </w:p>
        </w:tc>
      </w:tr>
      <w:tr w:rsidR="00337CA6" w:rsidRPr="00687F25" w:rsidTr="00AC4501">
        <w:trPr>
          <w:trHeight w:val="227"/>
        </w:trPr>
        <w:tc>
          <w:tcPr>
            <w:tcW w:w="197" w:type="pct"/>
            <w:shd w:val="clear" w:color="000000" w:fill="FBC7C9"/>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57</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Hallingdal</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35</w:t>
            </w:r>
          </w:p>
        </w:tc>
        <w:tc>
          <w:tcPr>
            <w:tcW w:w="261" w:type="pct"/>
            <w:shd w:val="clear" w:color="000000" w:fill="FAC4C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8,6</w:t>
            </w:r>
          </w:p>
        </w:tc>
        <w:tc>
          <w:tcPr>
            <w:tcW w:w="261" w:type="pct"/>
            <w:shd w:val="clear" w:color="000000" w:fill="B5CBE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11,4</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ACED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2,9</w:t>
            </w:r>
          </w:p>
        </w:tc>
        <w:tc>
          <w:tcPr>
            <w:tcW w:w="261" w:type="pct"/>
            <w:shd w:val="clear" w:color="000000" w:fill="F5F7F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11,4</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9A0A2"/>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2,9</w:t>
            </w:r>
          </w:p>
        </w:tc>
        <w:tc>
          <w:tcPr>
            <w:tcW w:w="261" w:type="pct"/>
            <w:shd w:val="clear" w:color="000000" w:fill="FBEF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5,7</w:t>
            </w:r>
          </w:p>
        </w:tc>
        <w:tc>
          <w:tcPr>
            <w:tcW w:w="261" w:type="pct"/>
            <w:shd w:val="clear" w:color="000000" w:fill="FBEE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11,1</w:t>
            </w:r>
          </w:p>
        </w:tc>
        <w:tc>
          <w:tcPr>
            <w:tcW w:w="261" w:type="pct"/>
            <w:shd w:val="clear" w:color="000000" w:fill="80A5D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25,0</w:t>
            </w:r>
          </w:p>
        </w:tc>
        <w:tc>
          <w:tcPr>
            <w:tcW w:w="261" w:type="pct"/>
            <w:shd w:val="clear" w:color="000000" w:fill="EAEFF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11,1</w:t>
            </w:r>
          </w:p>
        </w:tc>
        <w:tc>
          <w:tcPr>
            <w:tcW w:w="261" w:type="pct"/>
            <w:shd w:val="clear" w:color="000000" w:fill="FBD7D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5,6</w:t>
            </w:r>
          </w:p>
        </w:tc>
        <w:tc>
          <w:tcPr>
            <w:tcW w:w="356" w:type="pct"/>
            <w:shd w:val="clear" w:color="000000" w:fill="FBDAD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149,8</w:t>
            </w:r>
          </w:p>
        </w:tc>
      </w:tr>
      <w:tr w:rsidR="00337CA6" w:rsidRPr="00687F25" w:rsidTr="00AC4501">
        <w:trPr>
          <w:trHeight w:val="227"/>
        </w:trPr>
        <w:tc>
          <w:tcPr>
            <w:tcW w:w="197" w:type="pct"/>
            <w:shd w:val="clear" w:color="000000" w:fill="FBC3C6"/>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58</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Sandefjord/Larvik</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191</w:t>
            </w:r>
          </w:p>
        </w:tc>
        <w:tc>
          <w:tcPr>
            <w:tcW w:w="261" w:type="pct"/>
            <w:shd w:val="clear" w:color="000000" w:fill="DEE7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15,7</w:t>
            </w:r>
          </w:p>
        </w:tc>
        <w:tc>
          <w:tcPr>
            <w:tcW w:w="261" w:type="pct"/>
            <w:shd w:val="clear" w:color="000000" w:fill="FBE6E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6,3</w:t>
            </w:r>
          </w:p>
        </w:tc>
        <w:tc>
          <w:tcPr>
            <w:tcW w:w="261" w:type="pct"/>
            <w:shd w:val="clear" w:color="000000" w:fill="FBF7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2,7</w:t>
            </w:r>
          </w:p>
        </w:tc>
        <w:tc>
          <w:tcPr>
            <w:tcW w:w="261" w:type="pct"/>
            <w:shd w:val="clear" w:color="000000" w:fill="FAC6C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2,6</w:t>
            </w:r>
          </w:p>
        </w:tc>
        <w:tc>
          <w:tcPr>
            <w:tcW w:w="261" w:type="pct"/>
            <w:shd w:val="clear" w:color="000000" w:fill="FAB2B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5,2</w:t>
            </w:r>
          </w:p>
        </w:tc>
        <w:tc>
          <w:tcPr>
            <w:tcW w:w="261" w:type="pct"/>
            <w:shd w:val="clear" w:color="000000" w:fill="FAFBF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4,7</w:t>
            </w:r>
          </w:p>
        </w:tc>
        <w:tc>
          <w:tcPr>
            <w:tcW w:w="261" w:type="pct"/>
            <w:shd w:val="clear" w:color="000000" w:fill="B2C8E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12,0</w:t>
            </w:r>
          </w:p>
        </w:tc>
        <w:tc>
          <w:tcPr>
            <w:tcW w:w="261" w:type="pct"/>
            <w:shd w:val="clear" w:color="000000" w:fill="FACBC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4,2</w:t>
            </w:r>
          </w:p>
        </w:tc>
        <w:tc>
          <w:tcPr>
            <w:tcW w:w="261" w:type="pct"/>
            <w:shd w:val="clear" w:color="000000" w:fill="FBEBE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10,8</w:t>
            </w:r>
          </w:p>
        </w:tc>
        <w:tc>
          <w:tcPr>
            <w:tcW w:w="261" w:type="pct"/>
            <w:shd w:val="clear" w:color="000000" w:fill="FBF9F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12,9</w:t>
            </w:r>
          </w:p>
        </w:tc>
        <w:tc>
          <w:tcPr>
            <w:tcW w:w="261" w:type="pct"/>
            <w:shd w:val="clear" w:color="000000" w:fill="F5F7F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9,8</w:t>
            </w:r>
          </w:p>
        </w:tc>
        <w:tc>
          <w:tcPr>
            <w:tcW w:w="261" w:type="pct"/>
            <w:shd w:val="clear" w:color="000000" w:fill="FBF8F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7,2</w:t>
            </w:r>
          </w:p>
        </w:tc>
        <w:tc>
          <w:tcPr>
            <w:tcW w:w="356" w:type="pct"/>
            <w:shd w:val="clear" w:color="000000" w:fill="FBD8D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148,0</w:t>
            </w:r>
          </w:p>
        </w:tc>
      </w:tr>
      <w:tr w:rsidR="00337CA6" w:rsidRPr="00687F25" w:rsidTr="00AC4501">
        <w:trPr>
          <w:trHeight w:val="227"/>
        </w:trPr>
        <w:tc>
          <w:tcPr>
            <w:tcW w:w="197" w:type="pct"/>
            <w:tcBorders>
              <w:bottom w:val="single" w:sz="4" w:space="0" w:color="auto"/>
            </w:tcBorders>
            <w:shd w:val="clear" w:color="000000" w:fill="FBB5B7"/>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62</w:t>
            </w:r>
          </w:p>
        </w:tc>
        <w:tc>
          <w:tcPr>
            <w:tcW w:w="972" w:type="pct"/>
            <w:tcBorders>
              <w:bottom w:val="single" w:sz="4" w:space="0" w:color="auto"/>
            </w:tcBorders>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Sør Østerdal</w:t>
            </w:r>
          </w:p>
        </w:tc>
        <w:tc>
          <w:tcPr>
            <w:tcW w:w="345" w:type="pct"/>
            <w:tcBorders>
              <w:bottom w:val="single" w:sz="4" w:space="0" w:color="auto"/>
            </w:tcBorders>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39</w:t>
            </w:r>
          </w:p>
        </w:tc>
        <w:tc>
          <w:tcPr>
            <w:tcW w:w="261" w:type="pct"/>
            <w:tcBorders>
              <w:bottom w:val="single" w:sz="4" w:space="0" w:color="auto"/>
            </w:tcBorders>
            <w:shd w:val="clear" w:color="000000" w:fill="FAD7D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10,3</w:t>
            </w:r>
          </w:p>
        </w:tc>
        <w:tc>
          <w:tcPr>
            <w:tcW w:w="261" w:type="pct"/>
            <w:tcBorders>
              <w:bottom w:val="single" w:sz="4" w:space="0" w:color="auto"/>
            </w:tcBorders>
            <w:shd w:val="clear" w:color="000000" w:fill="F99C9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2,6</w:t>
            </w:r>
          </w:p>
        </w:tc>
        <w:tc>
          <w:tcPr>
            <w:tcW w:w="261" w:type="pct"/>
            <w:tcBorders>
              <w:bottom w:val="single" w:sz="4" w:space="0" w:color="auto"/>
            </w:tcBorders>
            <w:shd w:val="clear" w:color="000000" w:fill="D4E0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4,8</w:t>
            </w:r>
          </w:p>
        </w:tc>
        <w:tc>
          <w:tcPr>
            <w:tcW w:w="261" w:type="pct"/>
            <w:tcBorders>
              <w:bottom w:val="single" w:sz="4" w:space="0" w:color="auto"/>
            </w:tcBorders>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tcBorders>
              <w:bottom w:val="single" w:sz="4" w:space="0" w:color="auto"/>
            </w:tcBorders>
            <w:shd w:val="clear" w:color="000000" w:fill="F9B0B3"/>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5,1</w:t>
            </w:r>
          </w:p>
        </w:tc>
        <w:tc>
          <w:tcPr>
            <w:tcW w:w="261" w:type="pct"/>
            <w:tcBorders>
              <w:bottom w:val="single" w:sz="4" w:space="0" w:color="auto"/>
            </w:tcBorders>
            <w:shd w:val="clear" w:color="000000" w:fill="B0C7E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10,3</w:t>
            </w:r>
          </w:p>
        </w:tc>
        <w:tc>
          <w:tcPr>
            <w:tcW w:w="261" w:type="pct"/>
            <w:tcBorders>
              <w:bottom w:val="single" w:sz="4" w:space="0" w:color="auto"/>
            </w:tcBorders>
            <w:shd w:val="clear" w:color="000000" w:fill="F99A9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2,6</w:t>
            </w:r>
          </w:p>
        </w:tc>
        <w:tc>
          <w:tcPr>
            <w:tcW w:w="261" w:type="pct"/>
            <w:tcBorders>
              <w:bottom w:val="single" w:sz="4" w:space="0" w:color="auto"/>
            </w:tcBorders>
            <w:shd w:val="clear" w:color="000000" w:fill="CBDAE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10,3</w:t>
            </w:r>
          </w:p>
        </w:tc>
        <w:tc>
          <w:tcPr>
            <w:tcW w:w="261" w:type="pct"/>
            <w:tcBorders>
              <w:bottom w:val="single" w:sz="4" w:space="0" w:color="auto"/>
            </w:tcBorders>
            <w:shd w:val="clear" w:color="000000" w:fill="FBE4E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10,3</w:t>
            </w:r>
          </w:p>
        </w:tc>
        <w:tc>
          <w:tcPr>
            <w:tcW w:w="261" w:type="pct"/>
            <w:tcBorders>
              <w:bottom w:val="single" w:sz="4" w:space="0" w:color="auto"/>
            </w:tcBorders>
            <w:shd w:val="clear" w:color="000000" w:fill="FBDBD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10,3</w:t>
            </w:r>
          </w:p>
        </w:tc>
        <w:tc>
          <w:tcPr>
            <w:tcW w:w="261" w:type="pct"/>
            <w:tcBorders>
              <w:bottom w:val="single" w:sz="4" w:space="0" w:color="auto"/>
            </w:tcBorders>
            <w:shd w:val="clear" w:color="000000" w:fill="FBE9E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7,7</w:t>
            </w:r>
          </w:p>
        </w:tc>
        <w:tc>
          <w:tcPr>
            <w:tcW w:w="261" w:type="pct"/>
            <w:tcBorders>
              <w:bottom w:val="single" w:sz="4" w:space="0" w:color="auto"/>
            </w:tcBorders>
            <w:shd w:val="clear" w:color="000000" w:fill="FACFD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5,1</w:t>
            </w:r>
          </w:p>
        </w:tc>
        <w:tc>
          <w:tcPr>
            <w:tcW w:w="356" w:type="pct"/>
            <w:tcBorders>
              <w:bottom w:val="single" w:sz="4" w:space="0" w:color="auto"/>
            </w:tcBorders>
            <w:shd w:val="clear" w:color="000000" w:fill="FACAC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135,7</w:t>
            </w:r>
          </w:p>
        </w:tc>
      </w:tr>
      <w:tr w:rsidR="00337CA6" w:rsidRPr="003E7CC0" w:rsidTr="00AC4501">
        <w:trPr>
          <w:trHeight w:val="227"/>
        </w:trPr>
        <w:tc>
          <w:tcPr>
            <w:tcW w:w="197" w:type="pct"/>
            <w:tcBorders>
              <w:top w:val="single" w:sz="4" w:space="0" w:color="auto"/>
              <w:bottom w:val="single" w:sz="4" w:space="0" w:color="auto"/>
            </w:tcBorders>
            <w:shd w:val="clear" w:color="000000" w:fill="FAAEB0"/>
            <w:noWrap/>
            <w:vAlign w:val="bottom"/>
            <w:hideMark/>
          </w:tcPr>
          <w:p w:rsidR="00337CA6" w:rsidRPr="003E7CC0" w:rsidRDefault="00337CA6" w:rsidP="006E1EB0">
            <w:pPr>
              <w:spacing w:after="0" w:line="240" w:lineRule="auto"/>
              <w:jc w:val="right"/>
              <w:rPr>
                <w:rFonts w:ascii="Arial" w:eastAsia="Times New Roman" w:hAnsi="Arial" w:cs="Arial"/>
                <w:b/>
                <w:bCs/>
                <w:color w:val="000000"/>
                <w:sz w:val="18"/>
                <w:szCs w:val="18"/>
                <w:lang w:eastAsia="nb-NO"/>
              </w:rPr>
            </w:pPr>
            <w:r w:rsidRPr="003E7CC0">
              <w:rPr>
                <w:rFonts w:ascii="Arial" w:eastAsia="Times New Roman" w:hAnsi="Arial" w:cs="Arial"/>
                <w:b/>
                <w:bCs/>
                <w:color w:val="000000"/>
                <w:sz w:val="18"/>
                <w:szCs w:val="18"/>
                <w:lang w:eastAsia="nb-NO"/>
              </w:rPr>
              <w:t>64</w:t>
            </w:r>
          </w:p>
        </w:tc>
        <w:tc>
          <w:tcPr>
            <w:tcW w:w="972" w:type="pct"/>
            <w:tcBorders>
              <w:top w:val="single" w:sz="4" w:space="0" w:color="auto"/>
              <w:bottom w:val="single" w:sz="4" w:space="0" w:color="auto"/>
            </w:tcBorders>
            <w:shd w:val="clear" w:color="auto" w:fill="auto"/>
            <w:noWrap/>
            <w:vAlign w:val="bottom"/>
            <w:hideMark/>
          </w:tcPr>
          <w:p w:rsidR="00337CA6" w:rsidRPr="003E7CC0" w:rsidRDefault="00337CA6" w:rsidP="006E1EB0">
            <w:pPr>
              <w:spacing w:after="0" w:line="240" w:lineRule="auto"/>
              <w:rPr>
                <w:rFonts w:ascii="Arial" w:eastAsia="Times New Roman" w:hAnsi="Arial" w:cs="Arial"/>
                <w:b/>
                <w:color w:val="000000"/>
                <w:sz w:val="18"/>
                <w:szCs w:val="18"/>
                <w:lang w:eastAsia="nb-NO"/>
              </w:rPr>
            </w:pPr>
            <w:proofErr w:type="spellStart"/>
            <w:r w:rsidRPr="003E7CC0">
              <w:rPr>
                <w:rFonts w:ascii="Arial" w:eastAsia="Times New Roman" w:hAnsi="Arial" w:cs="Arial"/>
                <w:b/>
                <w:color w:val="C00000"/>
                <w:sz w:val="18"/>
                <w:szCs w:val="18"/>
                <w:lang w:eastAsia="nb-NO"/>
              </w:rPr>
              <w:t>Glåmdal</w:t>
            </w:r>
            <w:proofErr w:type="spellEnd"/>
          </w:p>
        </w:tc>
        <w:tc>
          <w:tcPr>
            <w:tcW w:w="345" w:type="pct"/>
            <w:tcBorders>
              <w:top w:val="single" w:sz="4" w:space="0" w:color="auto"/>
              <w:bottom w:val="single" w:sz="4" w:space="0" w:color="auto"/>
            </w:tcBorders>
            <w:shd w:val="clear" w:color="auto" w:fill="auto"/>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71</w:t>
            </w:r>
          </w:p>
        </w:tc>
        <w:tc>
          <w:tcPr>
            <w:tcW w:w="261" w:type="pct"/>
            <w:tcBorders>
              <w:top w:val="single" w:sz="4" w:space="0" w:color="auto"/>
              <w:bottom w:val="single" w:sz="4" w:space="0" w:color="auto"/>
            </w:tcBorders>
            <w:shd w:val="clear" w:color="000000" w:fill="FBF1F3"/>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12,7</w:t>
            </w:r>
          </w:p>
        </w:tc>
        <w:tc>
          <w:tcPr>
            <w:tcW w:w="261" w:type="pct"/>
            <w:tcBorders>
              <w:top w:val="single" w:sz="4" w:space="0" w:color="auto"/>
              <w:bottom w:val="single" w:sz="4" w:space="0" w:color="auto"/>
            </w:tcBorders>
            <w:shd w:val="clear" w:color="000000" w:fill="F9A1A3"/>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2,8</w:t>
            </w:r>
          </w:p>
        </w:tc>
        <w:tc>
          <w:tcPr>
            <w:tcW w:w="261" w:type="pct"/>
            <w:tcBorders>
              <w:top w:val="single" w:sz="4" w:space="0" w:color="auto"/>
              <w:bottom w:val="single" w:sz="4" w:space="0" w:color="auto"/>
            </w:tcBorders>
            <w:shd w:val="clear" w:color="000000" w:fill="E7EEF8"/>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3,8</w:t>
            </w:r>
          </w:p>
        </w:tc>
        <w:tc>
          <w:tcPr>
            <w:tcW w:w="261" w:type="pct"/>
            <w:tcBorders>
              <w:top w:val="single" w:sz="4" w:space="0" w:color="auto"/>
              <w:bottom w:val="single" w:sz="4" w:space="0" w:color="auto"/>
            </w:tcBorders>
            <w:shd w:val="clear" w:color="000000" w:fill="F8696B"/>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0,0</w:t>
            </w:r>
          </w:p>
        </w:tc>
        <w:tc>
          <w:tcPr>
            <w:tcW w:w="261" w:type="pct"/>
            <w:tcBorders>
              <w:top w:val="single" w:sz="4" w:space="0" w:color="auto"/>
              <w:bottom w:val="single" w:sz="4" w:space="0" w:color="auto"/>
            </w:tcBorders>
            <w:shd w:val="clear" w:color="000000" w:fill="FACBCE"/>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7,0</w:t>
            </w:r>
          </w:p>
        </w:tc>
        <w:tc>
          <w:tcPr>
            <w:tcW w:w="261" w:type="pct"/>
            <w:tcBorders>
              <w:top w:val="single" w:sz="4" w:space="0" w:color="auto"/>
              <w:bottom w:val="single" w:sz="4" w:space="0" w:color="auto"/>
            </w:tcBorders>
            <w:shd w:val="clear" w:color="000000" w:fill="FBF2F5"/>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4,2</w:t>
            </w:r>
          </w:p>
        </w:tc>
        <w:tc>
          <w:tcPr>
            <w:tcW w:w="261" w:type="pct"/>
            <w:tcBorders>
              <w:top w:val="single" w:sz="4" w:space="0" w:color="auto"/>
              <w:bottom w:val="single" w:sz="4" w:space="0" w:color="auto"/>
            </w:tcBorders>
            <w:shd w:val="clear" w:color="000000" w:fill="FBF1F4"/>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7,0</w:t>
            </w:r>
          </w:p>
        </w:tc>
        <w:tc>
          <w:tcPr>
            <w:tcW w:w="261" w:type="pct"/>
            <w:tcBorders>
              <w:top w:val="single" w:sz="4" w:space="0" w:color="auto"/>
              <w:bottom w:val="single" w:sz="4" w:space="0" w:color="auto"/>
            </w:tcBorders>
            <w:shd w:val="clear" w:color="000000" w:fill="F3F6FC"/>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7,0</w:t>
            </w:r>
          </w:p>
        </w:tc>
        <w:tc>
          <w:tcPr>
            <w:tcW w:w="261" w:type="pct"/>
            <w:tcBorders>
              <w:top w:val="single" w:sz="4" w:space="0" w:color="auto"/>
              <w:bottom w:val="single" w:sz="4" w:space="0" w:color="auto"/>
            </w:tcBorders>
            <w:shd w:val="clear" w:color="000000" w:fill="FBEEF1"/>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11,1</w:t>
            </w:r>
          </w:p>
        </w:tc>
        <w:tc>
          <w:tcPr>
            <w:tcW w:w="261" w:type="pct"/>
            <w:tcBorders>
              <w:top w:val="single" w:sz="4" w:space="0" w:color="auto"/>
              <w:bottom w:val="single" w:sz="4" w:space="0" w:color="auto"/>
            </w:tcBorders>
            <w:shd w:val="clear" w:color="000000" w:fill="FAD5D8"/>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9,7</w:t>
            </w:r>
          </w:p>
        </w:tc>
        <w:tc>
          <w:tcPr>
            <w:tcW w:w="261" w:type="pct"/>
            <w:tcBorders>
              <w:top w:val="single" w:sz="4" w:space="0" w:color="auto"/>
              <w:bottom w:val="single" w:sz="4" w:space="0" w:color="auto"/>
            </w:tcBorders>
            <w:shd w:val="clear" w:color="000000" w:fill="EAEFF9"/>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11,1</w:t>
            </w:r>
          </w:p>
        </w:tc>
        <w:tc>
          <w:tcPr>
            <w:tcW w:w="261" w:type="pct"/>
            <w:tcBorders>
              <w:top w:val="single" w:sz="4" w:space="0" w:color="auto"/>
              <w:bottom w:val="single" w:sz="4" w:space="0" w:color="auto"/>
            </w:tcBorders>
            <w:shd w:val="clear" w:color="000000" w:fill="FBD7DA"/>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5,6</w:t>
            </w:r>
          </w:p>
        </w:tc>
        <w:tc>
          <w:tcPr>
            <w:tcW w:w="356" w:type="pct"/>
            <w:tcBorders>
              <w:top w:val="single" w:sz="4" w:space="0" w:color="auto"/>
              <w:bottom w:val="single" w:sz="4" w:space="0" w:color="auto"/>
            </w:tcBorders>
            <w:shd w:val="clear" w:color="000000" w:fill="FAC7CA"/>
            <w:noWrap/>
            <w:vAlign w:val="bottom"/>
            <w:hideMark/>
          </w:tcPr>
          <w:p w:rsidR="00337CA6" w:rsidRPr="003E7CC0" w:rsidRDefault="00337CA6" w:rsidP="006E1EB0">
            <w:pPr>
              <w:spacing w:after="0" w:line="240" w:lineRule="auto"/>
              <w:jc w:val="right"/>
              <w:rPr>
                <w:rFonts w:ascii="Arial" w:eastAsia="Times New Roman" w:hAnsi="Arial" w:cs="Arial"/>
                <w:b/>
                <w:color w:val="000000"/>
                <w:sz w:val="18"/>
                <w:szCs w:val="18"/>
                <w:lang w:eastAsia="nb-NO"/>
              </w:rPr>
            </w:pPr>
            <w:r w:rsidRPr="003E7CC0">
              <w:rPr>
                <w:rFonts w:ascii="Arial" w:eastAsia="Times New Roman" w:hAnsi="Arial" w:cs="Arial"/>
                <w:b/>
                <w:color w:val="000000"/>
                <w:sz w:val="18"/>
                <w:szCs w:val="18"/>
                <w:lang w:eastAsia="nb-NO"/>
              </w:rPr>
              <w:t>132,9</w:t>
            </w:r>
          </w:p>
        </w:tc>
      </w:tr>
      <w:tr w:rsidR="00337CA6" w:rsidRPr="00687F25" w:rsidTr="00AC4501">
        <w:trPr>
          <w:trHeight w:val="227"/>
        </w:trPr>
        <w:tc>
          <w:tcPr>
            <w:tcW w:w="197" w:type="pct"/>
            <w:tcBorders>
              <w:top w:val="single" w:sz="4" w:space="0" w:color="auto"/>
            </w:tcBorders>
            <w:shd w:val="clear" w:color="000000" w:fill="FAA3A5"/>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67</w:t>
            </w:r>
          </w:p>
        </w:tc>
        <w:tc>
          <w:tcPr>
            <w:tcW w:w="972" w:type="pct"/>
            <w:tcBorders>
              <w:top w:val="single" w:sz="4" w:space="0" w:color="auto"/>
            </w:tcBorders>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Øst-Telemark</w:t>
            </w:r>
          </w:p>
        </w:tc>
        <w:tc>
          <w:tcPr>
            <w:tcW w:w="345" w:type="pct"/>
            <w:tcBorders>
              <w:top w:val="single" w:sz="4" w:space="0" w:color="auto"/>
            </w:tcBorders>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34</w:t>
            </w:r>
          </w:p>
        </w:tc>
        <w:tc>
          <w:tcPr>
            <w:tcW w:w="261" w:type="pct"/>
            <w:tcBorders>
              <w:top w:val="single" w:sz="4" w:space="0" w:color="auto"/>
            </w:tcBorders>
            <w:shd w:val="clear" w:color="000000" w:fill="FBE7E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11,8</w:t>
            </w:r>
          </w:p>
        </w:tc>
        <w:tc>
          <w:tcPr>
            <w:tcW w:w="261" w:type="pct"/>
            <w:tcBorders>
              <w:top w:val="single" w:sz="4" w:space="0" w:color="auto"/>
            </w:tcBorders>
            <w:shd w:val="clear" w:color="000000" w:fill="FBDEE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5,9</w:t>
            </w:r>
          </w:p>
        </w:tc>
        <w:tc>
          <w:tcPr>
            <w:tcW w:w="261" w:type="pct"/>
            <w:tcBorders>
              <w:top w:val="single" w:sz="4" w:space="0" w:color="auto"/>
            </w:tcBorders>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tcBorders>
              <w:top w:val="single" w:sz="4" w:space="0" w:color="auto"/>
            </w:tcBorders>
            <w:shd w:val="clear" w:color="000000" w:fill="FAD1D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2,9</w:t>
            </w:r>
          </w:p>
        </w:tc>
        <w:tc>
          <w:tcPr>
            <w:tcW w:w="261" w:type="pct"/>
            <w:tcBorders>
              <w:top w:val="single" w:sz="4" w:space="0" w:color="auto"/>
            </w:tcBorders>
            <w:shd w:val="clear" w:color="000000" w:fill="FABBB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5,9</w:t>
            </w:r>
          </w:p>
        </w:tc>
        <w:tc>
          <w:tcPr>
            <w:tcW w:w="261" w:type="pct"/>
            <w:tcBorders>
              <w:top w:val="single" w:sz="4" w:space="0" w:color="auto"/>
            </w:tcBorders>
            <w:shd w:val="clear" w:color="000000" w:fill="EAF0F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5,9</w:t>
            </w:r>
          </w:p>
        </w:tc>
        <w:tc>
          <w:tcPr>
            <w:tcW w:w="261" w:type="pct"/>
            <w:tcBorders>
              <w:top w:val="single" w:sz="4" w:space="0" w:color="auto"/>
            </w:tcBorders>
            <w:shd w:val="clear" w:color="000000" w:fill="F9A1A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2,9</w:t>
            </w:r>
          </w:p>
        </w:tc>
        <w:tc>
          <w:tcPr>
            <w:tcW w:w="261" w:type="pct"/>
            <w:tcBorders>
              <w:top w:val="single" w:sz="4" w:space="0" w:color="auto"/>
            </w:tcBorders>
            <w:shd w:val="clear" w:color="000000" w:fill="FBF2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5,9</w:t>
            </w:r>
          </w:p>
        </w:tc>
        <w:tc>
          <w:tcPr>
            <w:tcW w:w="261" w:type="pct"/>
            <w:tcBorders>
              <w:top w:val="single" w:sz="4" w:space="0" w:color="auto"/>
            </w:tcBorders>
            <w:shd w:val="clear" w:color="000000" w:fill="FBF2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11,4</w:t>
            </w:r>
          </w:p>
        </w:tc>
        <w:tc>
          <w:tcPr>
            <w:tcW w:w="261" w:type="pct"/>
            <w:tcBorders>
              <w:top w:val="single" w:sz="4" w:space="0" w:color="auto"/>
            </w:tcBorders>
            <w:shd w:val="clear" w:color="000000" w:fill="FAC9C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8,6</w:t>
            </w:r>
          </w:p>
        </w:tc>
        <w:tc>
          <w:tcPr>
            <w:tcW w:w="261" w:type="pct"/>
            <w:tcBorders>
              <w:top w:val="single" w:sz="4" w:space="0" w:color="auto"/>
            </w:tcBorders>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tcBorders>
              <w:top w:val="single" w:sz="4" w:space="0" w:color="auto"/>
            </w:tcBorders>
            <w:shd w:val="clear" w:color="000000" w:fill="E6EDF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8,6</w:t>
            </w:r>
          </w:p>
        </w:tc>
        <w:tc>
          <w:tcPr>
            <w:tcW w:w="356" w:type="pct"/>
            <w:tcBorders>
              <w:top w:val="single" w:sz="4" w:space="0" w:color="auto"/>
            </w:tcBorders>
            <w:shd w:val="clear" w:color="000000" w:fill="FABAB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121,0</w:t>
            </w:r>
          </w:p>
        </w:tc>
      </w:tr>
      <w:tr w:rsidR="00337CA6" w:rsidRPr="00687F25" w:rsidTr="00AC4501">
        <w:trPr>
          <w:trHeight w:val="227"/>
        </w:trPr>
        <w:tc>
          <w:tcPr>
            <w:tcW w:w="197" w:type="pct"/>
            <w:shd w:val="clear" w:color="000000" w:fill="FA9FA2"/>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68</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Øvre Romerike</w:t>
            </w:r>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109</w:t>
            </w:r>
          </w:p>
        </w:tc>
        <w:tc>
          <w:tcPr>
            <w:tcW w:w="261" w:type="pct"/>
            <w:shd w:val="clear" w:color="000000" w:fill="FBF2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12,8</w:t>
            </w:r>
          </w:p>
        </w:tc>
        <w:tc>
          <w:tcPr>
            <w:tcW w:w="261" w:type="pct"/>
            <w:shd w:val="clear" w:color="000000" w:fill="FAD7D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5,5</w:t>
            </w:r>
          </w:p>
        </w:tc>
        <w:tc>
          <w:tcPr>
            <w:tcW w:w="261" w:type="pct"/>
            <w:shd w:val="clear" w:color="000000" w:fill="F9939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0,8</w:t>
            </w:r>
          </w:p>
        </w:tc>
        <w:tc>
          <w:tcPr>
            <w:tcW w:w="261" w:type="pct"/>
            <w:shd w:val="clear" w:color="000000" w:fill="FACBC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2,8</w:t>
            </w:r>
          </w:p>
        </w:tc>
        <w:tc>
          <w:tcPr>
            <w:tcW w:w="261" w:type="pct"/>
            <w:shd w:val="clear" w:color="000000" w:fill="FAB6B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5,5</w:t>
            </w:r>
          </w:p>
        </w:tc>
        <w:tc>
          <w:tcPr>
            <w:tcW w:w="261" w:type="pct"/>
            <w:shd w:val="clear" w:color="000000" w:fill="F8868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0,9</w:t>
            </w:r>
          </w:p>
        </w:tc>
        <w:tc>
          <w:tcPr>
            <w:tcW w:w="261" w:type="pct"/>
            <w:shd w:val="clear" w:color="000000" w:fill="FAC1C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4,6</w:t>
            </w:r>
          </w:p>
        </w:tc>
        <w:tc>
          <w:tcPr>
            <w:tcW w:w="261" w:type="pct"/>
            <w:shd w:val="clear" w:color="000000" w:fill="FBEAE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5,5</w:t>
            </w:r>
          </w:p>
        </w:tc>
        <w:tc>
          <w:tcPr>
            <w:tcW w:w="261" w:type="pct"/>
            <w:shd w:val="clear" w:color="000000" w:fill="FAC1C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7,3</w:t>
            </w:r>
          </w:p>
        </w:tc>
        <w:tc>
          <w:tcPr>
            <w:tcW w:w="261" w:type="pct"/>
            <w:shd w:val="clear" w:color="000000" w:fill="FBE4E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11,0</w:t>
            </w:r>
          </w:p>
        </w:tc>
        <w:tc>
          <w:tcPr>
            <w:tcW w:w="261" w:type="pct"/>
            <w:shd w:val="clear" w:color="000000" w:fill="FBF2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8,3</w:t>
            </w:r>
          </w:p>
        </w:tc>
        <w:tc>
          <w:tcPr>
            <w:tcW w:w="261" w:type="pct"/>
            <w:shd w:val="clear" w:color="000000" w:fill="ECF1F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8,3</w:t>
            </w:r>
          </w:p>
        </w:tc>
        <w:tc>
          <w:tcPr>
            <w:tcW w:w="356" w:type="pct"/>
            <w:shd w:val="clear" w:color="000000" w:fill="FAB6B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117,9</w:t>
            </w:r>
          </w:p>
        </w:tc>
      </w:tr>
      <w:tr w:rsidR="00337CA6" w:rsidRPr="00687F25" w:rsidTr="00AC4501">
        <w:trPr>
          <w:trHeight w:val="227"/>
        </w:trPr>
        <w:tc>
          <w:tcPr>
            <w:tcW w:w="197" w:type="pct"/>
            <w:shd w:val="clear" w:color="000000" w:fill="F98A8C"/>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74</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proofErr w:type="spellStart"/>
            <w:r w:rsidRPr="00687F25">
              <w:rPr>
                <w:rFonts w:ascii="Arial" w:eastAsia="Times New Roman" w:hAnsi="Arial" w:cs="Arial"/>
                <w:color w:val="000000"/>
                <w:sz w:val="18"/>
                <w:szCs w:val="18"/>
                <w:lang w:eastAsia="nb-NO"/>
              </w:rPr>
              <w:t>Midt-Gudbrandsdal</w:t>
            </w:r>
            <w:proofErr w:type="spellEnd"/>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32</w:t>
            </w:r>
          </w:p>
        </w:tc>
        <w:tc>
          <w:tcPr>
            <w:tcW w:w="261" w:type="pct"/>
            <w:shd w:val="clear" w:color="000000" w:fill="FACDD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9,4</w:t>
            </w:r>
          </w:p>
        </w:tc>
        <w:tc>
          <w:tcPr>
            <w:tcW w:w="261" w:type="pct"/>
            <w:shd w:val="clear" w:color="000000" w:fill="FBE6E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6,3</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9949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3,1</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9A5A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3,1</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BDAD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9,4</w:t>
            </w:r>
          </w:p>
        </w:tc>
        <w:tc>
          <w:tcPr>
            <w:tcW w:w="261" w:type="pct"/>
            <w:shd w:val="clear" w:color="000000" w:fill="E2EAF6"/>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15,6</w:t>
            </w:r>
          </w:p>
        </w:tc>
        <w:tc>
          <w:tcPr>
            <w:tcW w:w="261" w:type="pct"/>
            <w:shd w:val="clear" w:color="000000" w:fill="DEE7F5"/>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12,5</w:t>
            </w:r>
          </w:p>
        </w:tc>
        <w:tc>
          <w:tcPr>
            <w:tcW w:w="261" w:type="pct"/>
            <w:shd w:val="clear" w:color="000000" w:fill="F9A7A9"/>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3,1</w:t>
            </w:r>
          </w:p>
        </w:tc>
        <w:tc>
          <w:tcPr>
            <w:tcW w:w="356" w:type="pct"/>
            <w:shd w:val="clear" w:color="000000" w:fill="F98E9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82,8</w:t>
            </w:r>
          </w:p>
        </w:tc>
      </w:tr>
      <w:tr w:rsidR="00337CA6" w:rsidRPr="00687F25" w:rsidTr="00AC4501">
        <w:trPr>
          <w:trHeight w:val="227"/>
        </w:trPr>
        <w:tc>
          <w:tcPr>
            <w:tcW w:w="197" w:type="pct"/>
            <w:shd w:val="clear" w:color="000000" w:fill="F98688"/>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75</w:t>
            </w:r>
          </w:p>
        </w:tc>
        <w:tc>
          <w:tcPr>
            <w:tcW w:w="972" w:type="pct"/>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proofErr w:type="spellStart"/>
            <w:r w:rsidRPr="00687F25">
              <w:rPr>
                <w:rFonts w:ascii="Arial" w:eastAsia="Times New Roman" w:hAnsi="Arial" w:cs="Arial"/>
                <w:color w:val="000000"/>
                <w:sz w:val="18"/>
                <w:szCs w:val="18"/>
                <w:lang w:eastAsia="nb-NO"/>
              </w:rPr>
              <w:t>Nord-Gudbrandsdal</w:t>
            </w:r>
            <w:proofErr w:type="spellEnd"/>
          </w:p>
        </w:tc>
        <w:tc>
          <w:tcPr>
            <w:tcW w:w="345" w:type="pct"/>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35</w:t>
            </w:r>
          </w:p>
        </w:tc>
        <w:tc>
          <w:tcPr>
            <w:tcW w:w="261" w:type="pct"/>
            <w:shd w:val="clear" w:color="000000" w:fill="FAC4C7"/>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8,6</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5F7FD"/>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11,4</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9A0A2"/>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2,9</w:t>
            </w:r>
          </w:p>
        </w:tc>
        <w:tc>
          <w:tcPr>
            <w:tcW w:w="261" w:type="pct"/>
            <w:shd w:val="clear" w:color="000000" w:fill="FBEFF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5,7</w:t>
            </w:r>
          </w:p>
        </w:tc>
        <w:tc>
          <w:tcPr>
            <w:tcW w:w="261" w:type="pct"/>
            <w:shd w:val="clear" w:color="000000" w:fill="F9ADB0"/>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5,7</w:t>
            </w:r>
          </w:p>
        </w:tc>
        <w:tc>
          <w:tcPr>
            <w:tcW w:w="261" w:type="pct"/>
            <w:shd w:val="clear" w:color="000000" w:fill="FAC9C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8,6</w:t>
            </w:r>
          </w:p>
        </w:tc>
        <w:tc>
          <w:tcPr>
            <w:tcW w:w="261" w:type="pct"/>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shd w:val="clear" w:color="000000" w:fill="F9A1A4"/>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2,9</w:t>
            </w:r>
          </w:p>
        </w:tc>
        <w:tc>
          <w:tcPr>
            <w:tcW w:w="356" w:type="pct"/>
            <w:shd w:val="clear" w:color="000000" w:fill="F88C8F"/>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81,4</w:t>
            </w:r>
          </w:p>
        </w:tc>
      </w:tr>
      <w:tr w:rsidR="00337CA6" w:rsidRPr="00687F25" w:rsidTr="00AC4501">
        <w:trPr>
          <w:trHeight w:val="227"/>
        </w:trPr>
        <w:tc>
          <w:tcPr>
            <w:tcW w:w="197" w:type="pct"/>
            <w:tcBorders>
              <w:bottom w:val="single" w:sz="4" w:space="0" w:color="auto"/>
            </w:tcBorders>
            <w:shd w:val="clear" w:color="000000" w:fill="F97476"/>
            <w:noWrap/>
            <w:vAlign w:val="bottom"/>
            <w:hideMark/>
          </w:tcPr>
          <w:p w:rsidR="00337CA6" w:rsidRPr="00687F25" w:rsidRDefault="00337CA6" w:rsidP="006E1EB0">
            <w:pPr>
              <w:spacing w:after="0" w:line="240" w:lineRule="auto"/>
              <w:jc w:val="right"/>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80</w:t>
            </w:r>
          </w:p>
        </w:tc>
        <w:tc>
          <w:tcPr>
            <w:tcW w:w="972" w:type="pct"/>
            <w:tcBorders>
              <w:bottom w:val="single" w:sz="4" w:space="0" w:color="auto"/>
            </w:tcBorders>
            <w:shd w:val="clear" w:color="auto" w:fill="auto"/>
            <w:noWrap/>
            <w:vAlign w:val="bottom"/>
            <w:hideMark/>
          </w:tcPr>
          <w:p w:rsidR="00337CA6" w:rsidRPr="00687F25" w:rsidRDefault="00337CA6" w:rsidP="006E1EB0">
            <w:pPr>
              <w:spacing w:after="0" w:line="240" w:lineRule="auto"/>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Valdres</w:t>
            </w:r>
          </w:p>
        </w:tc>
        <w:tc>
          <w:tcPr>
            <w:tcW w:w="345" w:type="pct"/>
            <w:tcBorders>
              <w:bottom w:val="single" w:sz="4" w:space="0" w:color="auto"/>
            </w:tcBorders>
            <w:shd w:val="clear" w:color="auto" w:fill="auto"/>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25</w:t>
            </w:r>
          </w:p>
        </w:tc>
        <w:tc>
          <w:tcPr>
            <w:tcW w:w="261" w:type="pct"/>
            <w:tcBorders>
              <w:bottom w:val="single" w:sz="4" w:space="0" w:color="auto"/>
            </w:tcBorders>
            <w:shd w:val="clear" w:color="000000" w:fill="FABEC1"/>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8,0</w:t>
            </w:r>
          </w:p>
        </w:tc>
        <w:tc>
          <w:tcPr>
            <w:tcW w:w="261" w:type="pct"/>
            <w:tcBorders>
              <w:bottom w:val="single" w:sz="4" w:space="0" w:color="auto"/>
            </w:tcBorders>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tcBorders>
              <w:bottom w:val="single" w:sz="4" w:space="0" w:color="auto"/>
            </w:tcBorders>
            <w:shd w:val="clear" w:color="000000" w:fill="E6EDF8"/>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3,8</w:t>
            </w:r>
          </w:p>
        </w:tc>
        <w:tc>
          <w:tcPr>
            <w:tcW w:w="261" w:type="pct"/>
            <w:tcBorders>
              <w:bottom w:val="single" w:sz="4" w:space="0" w:color="auto"/>
            </w:tcBorders>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tcBorders>
              <w:bottom w:val="single" w:sz="4" w:space="0" w:color="auto"/>
            </w:tcBorders>
            <w:shd w:val="clear" w:color="000000" w:fill="FBD9D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8,0</w:t>
            </w:r>
          </w:p>
        </w:tc>
        <w:tc>
          <w:tcPr>
            <w:tcW w:w="261" w:type="pct"/>
            <w:tcBorders>
              <w:bottom w:val="single" w:sz="4" w:space="0" w:color="auto"/>
            </w:tcBorders>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tcBorders>
              <w:bottom w:val="single" w:sz="4" w:space="0" w:color="auto"/>
            </w:tcBorders>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tcBorders>
              <w:bottom w:val="single" w:sz="4" w:space="0" w:color="auto"/>
            </w:tcBorders>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261" w:type="pct"/>
            <w:tcBorders>
              <w:bottom w:val="single" w:sz="4" w:space="0" w:color="auto"/>
            </w:tcBorders>
            <w:shd w:val="clear" w:color="000000" w:fill="FAC9CC"/>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8,0</w:t>
            </w:r>
          </w:p>
        </w:tc>
        <w:tc>
          <w:tcPr>
            <w:tcW w:w="261" w:type="pct"/>
            <w:tcBorders>
              <w:bottom w:val="single" w:sz="4" w:space="0" w:color="auto"/>
            </w:tcBorders>
            <w:shd w:val="clear" w:color="000000" w:fill="FBEFF2"/>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12,0</w:t>
            </w:r>
          </w:p>
        </w:tc>
        <w:tc>
          <w:tcPr>
            <w:tcW w:w="261" w:type="pct"/>
            <w:tcBorders>
              <w:bottom w:val="single" w:sz="4" w:space="0" w:color="auto"/>
            </w:tcBorders>
            <w:shd w:val="clear" w:color="000000" w:fill="F9ABAE"/>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4,0</w:t>
            </w:r>
          </w:p>
        </w:tc>
        <w:tc>
          <w:tcPr>
            <w:tcW w:w="261" w:type="pct"/>
            <w:tcBorders>
              <w:bottom w:val="single" w:sz="4" w:space="0" w:color="auto"/>
            </w:tcBorders>
            <w:shd w:val="clear" w:color="000000" w:fill="F8696B"/>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0,0</w:t>
            </w:r>
          </w:p>
        </w:tc>
        <w:tc>
          <w:tcPr>
            <w:tcW w:w="356" w:type="pct"/>
            <w:tcBorders>
              <w:bottom w:val="single" w:sz="4" w:space="0" w:color="auto"/>
            </w:tcBorders>
            <w:shd w:val="clear" w:color="000000" w:fill="F8888A"/>
            <w:noWrap/>
            <w:vAlign w:val="bottom"/>
            <w:hideMark/>
          </w:tcPr>
          <w:p w:rsidR="00337CA6" w:rsidRPr="00687F25" w:rsidRDefault="00337CA6"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77,4</w:t>
            </w:r>
          </w:p>
        </w:tc>
      </w:tr>
      <w:tr w:rsidR="00292ADC" w:rsidRPr="00687F25" w:rsidTr="00AC4501">
        <w:trPr>
          <w:trHeight w:val="227"/>
        </w:trPr>
        <w:tc>
          <w:tcPr>
            <w:tcW w:w="197"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p>
        </w:tc>
        <w:tc>
          <w:tcPr>
            <w:tcW w:w="972" w:type="pct"/>
            <w:tcBorders>
              <w:top w:val="single" w:sz="4" w:space="0" w:color="auto"/>
            </w:tcBorders>
            <w:shd w:val="clear" w:color="auto" w:fill="auto"/>
            <w:noWrap/>
            <w:vAlign w:val="bottom"/>
            <w:hideMark/>
          </w:tcPr>
          <w:p w:rsidR="006E1EB0" w:rsidRPr="00687F25" w:rsidRDefault="006E1EB0" w:rsidP="006E1EB0">
            <w:pPr>
              <w:spacing w:after="0" w:line="240" w:lineRule="auto"/>
              <w:rPr>
                <w:rFonts w:ascii="Arial" w:eastAsia="Times New Roman" w:hAnsi="Arial" w:cs="Arial"/>
                <w:b/>
                <w:bCs/>
                <w:color w:val="000000"/>
                <w:sz w:val="18"/>
                <w:szCs w:val="18"/>
                <w:lang w:eastAsia="nb-NO"/>
              </w:rPr>
            </w:pPr>
            <w:r w:rsidRPr="00687F25">
              <w:rPr>
                <w:rFonts w:ascii="Arial" w:eastAsia="Times New Roman" w:hAnsi="Arial" w:cs="Arial"/>
                <w:b/>
                <w:bCs/>
                <w:color w:val="000000"/>
                <w:sz w:val="18"/>
                <w:szCs w:val="18"/>
                <w:lang w:eastAsia="nb-NO"/>
              </w:rPr>
              <w:t> </w:t>
            </w:r>
            <w:r w:rsidR="00292ADC">
              <w:rPr>
                <w:rFonts w:ascii="Arial" w:eastAsia="Times New Roman" w:hAnsi="Arial" w:cs="Arial"/>
                <w:b/>
                <w:bCs/>
                <w:color w:val="000000"/>
                <w:sz w:val="18"/>
                <w:szCs w:val="18"/>
                <w:lang w:eastAsia="nb-NO"/>
              </w:rPr>
              <w:t>Norge</w:t>
            </w:r>
          </w:p>
        </w:tc>
        <w:tc>
          <w:tcPr>
            <w:tcW w:w="345"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10124</w:t>
            </w:r>
          </w:p>
        </w:tc>
        <w:tc>
          <w:tcPr>
            <w:tcW w:w="261"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14,7</w:t>
            </w:r>
          </w:p>
        </w:tc>
        <w:tc>
          <w:tcPr>
            <w:tcW w:w="261"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10,1</w:t>
            </w:r>
          </w:p>
        </w:tc>
        <w:tc>
          <w:tcPr>
            <w:tcW w:w="261"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3,3</w:t>
            </w:r>
          </w:p>
        </w:tc>
        <w:tc>
          <w:tcPr>
            <w:tcW w:w="261"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6,5</w:t>
            </w:r>
          </w:p>
        </w:tc>
        <w:tc>
          <w:tcPr>
            <w:tcW w:w="261"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10,3</w:t>
            </w:r>
          </w:p>
        </w:tc>
        <w:tc>
          <w:tcPr>
            <w:tcW w:w="261"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5,2</w:t>
            </w:r>
          </w:p>
        </w:tc>
        <w:tc>
          <w:tcPr>
            <w:tcW w:w="261"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8,9</w:t>
            </w:r>
          </w:p>
        </w:tc>
        <w:tc>
          <w:tcPr>
            <w:tcW w:w="261"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6,3</w:t>
            </w:r>
          </w:p>
        </w:tc>
        <w:tc>
          <w:tcPr>
            <w:tcW w:w="261"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13,8</w:t>
            </w:r>
          </w:p>
        </w:tc>
        <w:tc>
          <w:tcPr>
            <w:tcW w:w="261"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14,2</w:t>
            </w:r>
          </w:p>
        </w:tc>
        <w:tc>
          <w:tcPr>
            <w:tcW w:w="261"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9,5</w:t>
            </w:r>
          </w:p>
        </w:tc>
        <w:tc>
          <w:tcPr>
            <w:tcW w:w="261"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8,0</w:t>
            </w:r>
          </w:p>
        </w:tc>
        <w:tc>
          <w:tcPr>
            <w:tcW w:w="356" w:type="pct"/>
            <w:tcBorders>
              <w:top w:val="single" w:sz="4" w:space="0" w:color="auto"/>
            </w:tcBorders>
            <w:shd w:val="clear" w:color="auto" w:fill="auto"/>
            <w:noWrap/>
            <w:vAlign w:val="bottom"/>
            <w:hideMark/>
          </w:tcPr>
          <w:p w:rsidR="006E1EB0" w:rsidRPr="00687F25" w:rsidRDefault="006E1EB0" w:rsidP="006E1EB0">
            <w:pPr>
              <w:spacing w:after="0" w:line="240" w:lineRule="auto"/>
              <w:jc w:val="right"/>
              <w:rPr>
                <w:rFonts w:ascii="Arial" w:eastAsia="Times New Roman" w:hAnsi="Arial" w:cs="Arial"/>
                <w:color w:val="000000"/>
                <w:sz w:val="18"/>
                <w:szCs w:val="18"/>
                <w:lang w:eastAsia="nb-NO"/>
              </w:rPr>
            </w:pPr>
            <w:r w:rsidRPr="00687F25">
              <w:rPr>
                <w:rFonts w:ascii="Arial" w:eastAsia="Times New Roman" w:hAnsi="Arial" w:cs="Arial"/>
                <w:color w:val="000000"/>
                <w:sz w:val="18"/>
                <w:szCs w:val="18"/>
                <w:lang w:eastAsia="nb-NO"/>
              </w:rPr>
              <w:t>192,6</w:t>
            </w:r>
          </w:p>
        </w:tc>
      </w:tr>
    </w:tbl>
    <w:p w:rsidR="00F53AA9" w:rsidRDefault="00F53AA9" w:rsidP="00DC0D02">
      <w:pPr>
        <w:spacing w:after="120"/>
      </w:pPr>
    </w:p>
    <w:p w:rsidR="00DF728A" w:rsidRDefault="00DF728A" w:rsidP="00500C46">
      <w:pPr>
        <w:sectPr w:rsidR="00DF728A" w:rsidSect="00687F25">
          <w:type w:val="continuous"/>
          <w:pgSz w:w="11906" w:h="16838"/>
          <w:pgMar w:top="1440" w:right="1080" w:bottom="1440" w:left="1080" w:header="708" w:footer="708" w:gutter="0"/>
          <w:cols w:space="708"/>
          <w:docGrid w:linePitch="360"/>
        </w:sectPr>
      </w:pPr>
      <w:r>
        <w:t xml:space="preserve">Det var 71 bedrifter i </w:t>
      </w:r>
      <w:proofErr w:type="spellStart"/>
      <w:r>
        <w:t>Glåmdal</w:t>
      </w:r>
      <w:proofErr w:type="spellEnd"/>
      <w:r>
        <w:t xml:space="preserve"> som deltok i undersøkelsen. 12</w:t>
      </w:r>
      <w:r w:rsidR="00DC0D02">
        <w:t>,7</w:t>
      </w:r>
      <w:r>
        <w:t xml:space="preserve"> prosent av </w:t>
      </w:r>
      <w:r w:rsidR="009A3116">
        <w:t>dem</w:t>
      </w:r>
      <w:r>
        <w:t xml:space="preserve"> oppga at de har introdusert produktinnovasjon i form av nye eller vesentlige forbedrede varer. Antallet er lavere enn snittet for Norge. 11,1 prosent av bedriftene oppga at de har introdusert markedsinnovasjoner i form av nye måter for produktplassering eller salgskanaler. Andelen er noe høyere enn andelen nasjonalt. Også andelen bedrifter som oppgir å ha introdusert produktinnovasjoner som er nye for markedet er noe høyere i </w:t>
      </w:r>
      <w:proofErr w:type="spellStart"/>
      <w:r>
        <w:t>Glåmdal</w:t>
      </w:r>
      <w:proofErr w:type="spellEnd"/>
      <w:r>
        <w:t xml:space="preserve"> enn på landsbasis. Samlet sett er derimot andelen bedrifter som oppgir å ha introdusert nye innovasjoner lavere enn gjennomsnittet for Norge. </w:t>
      </w:r>
      <w:proofErr w:type="spellStart"/>
      <w:r>
        <w:t>Glåmdal</w:t>
      </w:r>
      <w:proofErr w:type="spellEnd"/>
      <w:r>
        <w:t xml:space="preserve"> rangerer </w:t>
      </w:r>
      <w:r w:rsidR="00E5445D">
        <w:t>under middels</w:t>
      </w:r>
      <w:r>
        <w:t xml:space="preserve"> blant landets 84 regioner mht. innovasjonsfrekvens. </w:t>
      </w:r>
      <w:r w:rsidR="00500C46">
        <w:br w:type="page"/>
      </w:r>
    </w:p>
    <w:p w:rsidR="00500C46" w:rsidRDefault="00500C46" w:rsidP="00500C46">
      <w:pPr>
        <w:pStyle w:val="Overskrift3"/>
        <w:tabs>
          <w:tab w:val="clear" w:pos="170"/>
          <w:tab w:val="clear" w:pos="284"/>
        </w:tabs>
        <w:ind w:left="720" w:hanging="720"/>
      </w:pPr>
      <w:bookmarkStart w:id="71" w:name="_Toc376866152"/>
      <w:r>
        <w:lastRenderedPageBreak/>
        <w:t xml:space="preserve">Innovasjonsfrekvens – </w:t>
      </w:r>
      <w:proofErr w:type="spellStart"/>
      <w:r>
        <w:t>enbedriftsforetak</w:t>
      </w:r>
      <w:proofErr w:type="spellEnd"/>
      <w:r>
        <w:t xml:space="preserve"> og flerbedriftsforetak</w:t>
      </w:r>
      <w:bookmarkEnd w:id="71"/>
    </w:p>
    <w:p w:rsidR="00500C46" w:rsidRDefault="00500C46" w:rsidP="00500C46">
      <w:r>
        <w:t>Et kompliserende forhold er at vi har en del foretak som har bedrifter i flere kommun</w:t>
      </w:r>
      <w:r w:rsidR="0040574D">
        <w:t>er. Store industriforetak som f.</w:t>
      </w:r>
      <w:r>
        <w:t>eks</w:t>
      </w:r>
      <w:r w:rsidR="0040574D">
        <w:t>.</w:t>
      </w:r>
      <w:r>
        <w:t xml:space="preserve"> Hydro, Orkla og Statoil har virksomhet i en rekke kommuner. I tallene på forrige side har vi regnet hver enkelt bedrift i slike flerbedriftsforetak som innovative dersom foretaket har oppgitt å ha innovasjon. Spørsmålet er om ikke statistikken over innovasjon i </w:t>
      </w:r>
      <w:proofErr w:type="spellStart"/>
      <w:r>
        <w:t>enbedriftsforetakene</w:t>
      </w:r>
      <w:proofErr w:type="spellEnd"/>
      <w:r>
        <w:t xml:space="preserve"> er et bedre mål på regional innovasjon, enn statistikk som tar med avdelinger av større foretak. Hvis vi tar ut en tabell som på forrige side, men bare med </w:t>
      </w:r>
      <w:proofErr w:type="spellStart"/>
      <w:r>
        <w:t>enbedriftsforetak</w:t>
      </w:r>
      <w:proofErr w:type="spellEnd"/>
      <w:r>
        <w:t xml:space="preserve"> får vi følgende tall:</w:t>
      </w:r>
    </w:p>
    <w:p w:rsidR="00500C46" w:rsidRDefault="00500C46" w:rsidP="00500C46">
      <w:pPr>
        <w:pStyle w:val="Bildetekst"/>
        <w:keepNext/>
      </w:pPr>
      <w:r>
        <w:t xml:space="preserve">Tabell </w:t>
      </w:r>
      <w:r w:rsidR="004B3D9E">
        <w:fldChar w:fldCharType="begin"/>
      </w:r>
      <w:r>
        <w:instrText xml:space="preserve"> SEQ Tabell \* ARABIC </w:instrText>
      </w:r>
      <w:r w:rsidR="004B3D9E">
        <w:fldChar w:fldCharType="separate"/>
      </w:r>
      <w:r w:rsidR="00CD5BFF">
        <w:rPr>
          <w:noProof/>
        </w:rPr>
        <w:t>11</w:t>
      </w:r>
      <w:r w:rsidR="004B3D9E">
        <w:rPr>
          <w:noProof/>
        </w:rPr>
        <w:fldChar w:fldCharType="end"/>
      </w:r>
      <w:r>
        <w:t xml:space="preserve">: Andel av </w:t>
      </w:r>
      <w:proofErr w:type="spellStart"/>
      <w:r>
        <w:t>enbedriftsforetakene</w:t>
      </w:r>
      <w:proofErr w:type="spellEnd"/>
      <w:r>
        <w:t xml:space="preserve"> som oppgir ulike typer av innovasjon.</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tblPr>
      <w:tblGrid>
        <w:gridCol w:w="590"/>
        <w:gridCol w:w="1821"/>
        <w:gridCol w:w="541"/>
        <w:gridCol w:w="491"/>
        <w:gridCol w:w="491"/>
        <w:gridCol w:w="491"/>
        <w:gridCol w:w="491"/>
        <w:gridCol w:w="491"/>
        <w:gridCol w:w="491"/>
        <w:gridCol w:w="572"/>
        <w:gridCol w:w="572"/>
        <w:gridCol w:w="491"/>
        <w:gridCol w:w="491"/>
        <w:gridCol w:w="572"/>
        <w:gridCol w:w="491"/>
        <w:gridCol w:w="591"/>
      </w:tblGrid>
      <w:tr w:rsidR="00E02BD7" w:rsidRPr="000E52D5" w:rsidTr="00E02BD7">
        <w:trPr>
          <w:cantSplit/>
          <w:trHeight w:val="227"/>
        </w:trPr>
        <w:tc>
          <w:tcPr>
            <w:tcW w:w="0" w:type="auto"/>
            <w:shd w:val="clear" w:color="auto" w:fill="CCECFF"/>
            <w:noWrap/>
            <w:vAlign w:val="center"/>
          </w:tcPr>
          <w:p w:rsidR="00E02BD7" w:rsidRPr="00746D2B" w:rsidRDefault="00E02BD7" w:rsidP="000E52D5">
            <w:pPr>
              <w:spacing w:after="0" w:line="240" w:lineRule="auto"/>
              <w:rPr>
                <w:rFonts w:ascii="Arial" w:eastAsia="Times New Roman" w:hAnsi="Arial" w:cs="Arial"/>
                <w:b/>
                <w:bCs/>
                <w:color w:val="000000"/>
                <w:sz w:val="18"/>
                <w:szCs w:val="18"/>
                <w:lang w:eastAsia="nb-NO"/>
              </w:rPr>
            </w:pPr>
          </w:p>
        </w:tc>
        <w:tc>
          <w:tcPr>
            <w:tcW w:w="0" w:type="auto"/>
            <w:shd w:val="clear" w:color="auto" w:fill="CCECFF"/>
            <w:noWrap/>
            <w:vAlign w:val="center"/>
          </w:tcPr>
          <w:p w:rsidR="00E02BD7" w:rsidRPr="00746D2B" w:rsidRDefault="00E02BD7" w:rsidP="000E52D5">
            <w:pPr>
              <w:spacing w:after="0" w:line="240" w:lineRule="auto"/>
              <w:rPr>
                <w:rFonts w:ascii="Arial" w:eastAsia="Times New Roman" w:hAnsi="Arial" w:cs="Arial"/>
                <w:b/>
                <w:bCs/>
                <w:color w:val="000000"/>
                <w:sz w:val="18"/>
                <w:szCs w:val="18"/>
                <w:lang w:eastAsia="nb-NO"/>
              </w:rPr>
            </w:pPr>
          </w:p>
        </w:tc>
        <w:tc>
          <w:tcPr>
            <w:tcW w:w="0" w:type="auto"/>
            <w:shd w:val="clear" w:color="auto" w:fill="auto"/>
            <w:noWrap/>
            <w:vAlign w:val="center"/>
          </w:tcPr>
          <w:p w:rsidR="00E02BD7" w:rsidRPr="00746D2B" w:rsidRDefault="00E02BD7" w:rsidP="000E52D5">
            <w:pPr>
              <w:spacing w:after="0" w:line="240" w:lineRule="auto"/>
              <w:rPr>
                <w:rFonts w:ascii="Arial" w:eastAsia="Times New Roman" w:hAnsi="Arial" w:cs="Arial"/>
                <w:color w:val="000000"/>
                <w:sz w:val="18"/>
                <w:szCs w:val="18"/>
                <w:lang w:eastAsia="nb-NO"/>
              </w:rPr>
            </w:pPr>
          </w:p>
        </w:tc>
        <w:tc>
          <w:tcPr>
            <w:tcW w:w="0" w:type="auto"/>
            <w:gridSpan w:val="4"/>
            <w:shd w:val="clear" w:color="auto" w:fill="D9D9D9" w:themeFill="background1" w:themeFillShade="D9"/>
            <w:noWrap/>
            <w:vAlign w:val="center"/>
          </w:tcPr>
          <w:p w:rsidR="00E02BD7" w:rsidRPr="00746D2B" w:rsidRDefault="00E02BD7" w:rsidP="00E02BD7">
            <w:pPr>
              <w:spacing w:after="0" w:line="240" w:lineRule="auto"/>
              <w:ind w:left="57"/>
              <w:jc w:val="center"/>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Produkt</w:t>
            </w:r>
          </w:p>
        </w:tc>
        <w:tc>
          <w:tcPr>
            <w:tcW w:w="0" w:type="auto"/>
            <w:gridSpan w:val="4"/>
            <w:shd w:val="clear" w:color="auto" w:fill="D9D9D9" w:themeFill="background1" w:themeFillShade="D9"/>
            <w:noWrap/>
            <w:vAlign w:val="center"/>
          </w:tcPr>
          <w:p w:rsidR="00E02BD7" w:rsidRPr="00746D2B" w:rsidRDefault="00E02BD7" w:rsidP="00E02BD7">
            <w:pPr>
              <w:spacing w:after="0" w:line="240" w:lineRule="auto"/>
              <w:ind w:left="57"/>
              <w:jc w:val="center"/>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Prosess</w:t>
            </w:r>
          </w:p>
        </w:tc>
        <w:tc>
          <w:tcPr>
            <w:tcW w:w="0" w:type="auto"/>
            <w:gridSpan w:val="4"/>
            <w:shd w:val="clear" w:color="auto" w:fill="D9D9D9" w:themeFill="background1" w:themeFillShade="D9"/>
            <w:noWrap/>
            <w:vAlign w:val="center"/>
          </w:tcPr>
          <w:p w:rsidR="00E02BD7" w:rsidRPr="00746D2B" w:rsidRDefault="00E02BD7" w:rsidP="00E02BD7">
            <w:pPr>
              <w:spacing w:after="0" w:line="240" w:lineRule="auto"/>
              <w:ind w:left="57"/>
              <w:jc w:val="center"/>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Marked</w:t>
            </w:r>
          </w:p>
        </w:tc>
        <w:tc>
          <w:tcPr>
            <w:tcW w:w="0" w:type="auto"/>
            <w:shd w:val="clear" w:color="auto" w:fill="D9D9D9" w:themeFill="background1" w:themeFillShade="D9"/>
            <w:noWrap/>
            <w:textDirection w:val="btLr"/>
            <w:vAlign w:val="center"/>
          </w:tcPr>
          <w:p w:rsidR="00E02BD7" w:rsidRDefault="00E02BD7" w:rsidP="000E52D5">
            <w:pPr>
              <w:spacing w:after="0" w:line="240" w:lineRule="auto"/>
              <w:ind w:left="57"/>
              <w:rPr>
                <w:rFonts w:ascii="Arial" w:eastAsia="Times New Roman" w:hAnsi="Arial" w:cs="Arial"/>
                <w:color w:val="000000"/>
                <w:sz w:val="18"/>
                <w:szCs w:val="18"/>
                <w:lang w:eastAsia="nb-NO"/>
              </w:rPr>
            </w:pPr>
          </w:p>
        </w:tc>
      </w:tr>
      <w:tr w:rsidR="00746D2B" w:rsidRPr="000E52D5" w:rsidTr="00E02BD7">
        <w:trPr>
          <w:cantSplit/>
          <w:trHeight w:val="1134"/>
        </w:trPr>
        <w:tc>
          <w:tcPr>
            <w:tcW w:w="0" w:type="auto"/>
            <w:shd w:val="clear" w:color="auto" w:fill="CCECFF"/>
            <w:noWrap/>
            <w:vAlign w:val="center"/>
            <w:hideMark/>
          </w:tcPr>
          <w:p w:rsidR="00746D2B" w:rsidRPr="00746D2B" w:rsidRDefault="00746D2B" w:rsidP="000E52D5">
            <w:pPr>
              <w:spacing w:after="0" w:line="240" w:lineRule="auto"/>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Rang</w:t>
            </w:r>
          </w:p>
        </w:tc>
        <w:tc>
          <w:tcPr>
            <w:tcW w:w="0" w:type="auto"/>
            <w:shd w:val="clear" w:color="auto" w:fill="CCECFF"/>
            <w:noWrap/>
            <w:vAlign w:val="center"/>
            <w:hideMark/>
          </w:tcPr>
          <w:p w:rsidR="00746D2B" w:rsidRPr="00746D2B" w:rsidRDefault="00746D2B" w:rsidP="000E52D5">
            <w:pPr>
              <w:spacing w:after="0" w:line="240" w:lineRule="auto"/>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Region</w:t>
            </w:r>
          </w:p>
        </w:tc>
        <w:tc>
          <w:tcPr>
            <w:tcW w:w="0" w:type="auto"/>
            <w:shd w:val="clear" w:color="auto" w:fill="auto"/>
            <w:noWrap/>
            <w:vAlign w:val="center"/>
            <w:hideMark/>
          </w:tcPr>
          <w:p w:rsidR="00746D2B" w:rsidRPr="00746D2B" w:rsidRDefault="00746D2B" w:rsidP="000E52D5">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N</w:t>
            </w:r>
          </w:p>
        </w:tc>
        <w:tc>
          <w:tcPr>
            <w:tcW w:w="0" w:type="auto"/>
            <w:shd w:val="clear" w:color="auto" w:fill="D9D9D9" w:themeFill="background1" w:themeFillShade="D9"/>
            <w:noWrap/>
            <w:textDirection w:val="btLr"/>
            <w:vAlign w:val="center"/>
            <w:hideMark/>
          </w:tcPr>
          <w:p w:rsidR="00746D2B" w:rsidRPr="00746D2B"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Vare</w:t>
            </w:r>
          </w:p>
        </w:tc>
        <w:tc>
          <w:tcPr>
            <w:tcW w:w="0" w:type="auto"/>
            <w:shd w:val="clear" w:color="auto" w:fill="D9D9D9" w:themeFill="background1" w:themeFillShade="D9"/>
            <w:noWrap/>
            <w:textDirection w:val="btLr"/>
            <w:vAlign w:val="center"/>
            <w:hideMark/>
          </w:tcPr>
          <w:p w:rsidR="00746D2B" w:rsidRPr="00746D2B"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Tjeneste</w:t>
            </w:r>
          </w:p>
        </w:tc>
        <w:tc>
          <w:tcPr>
            <w:tcW w:w="0" w:type="auto"/>
            <w:shd w:val="clear" w:color="auto" w:fill="D9D9D9" w:themeFill="background1" w:themeFillShade="D9"/>
            <w:noWrap/>
            <w:textDirection w:val="btLr"/>
            <w:vAlign w:val="center"/>
            <w:hideMark/>
          </w:tcPr>
          <w:p w:rsidR="00746D2B" w:rsidRPr="00746D2B"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Nytt marked</w:t>
            </w:r>
          </w:p>
        </w:tc>
        <w:tc>
          <w:tcPr>
            <w:tcW w:w="0" w:type="auto"/>
            <w:shd w:val="clear" w:color="auto" w:fill="D9D9D9" w:themeFill="background1" w:themeFillShade="D9"/>
            <w:noWrap/>
            <w:textDirection w:val="btLr"/>
            <w:vAlign w:val="center"/>
            <w:hideMark/>
          </w:tcPr>
          <w:p w:rsidR="00746D2B" w:rsidRPr="00746D2B"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Nytt Verden</w:t>
            </w:r>
          </w:p>
        </w:tc>
        <w:tc>
          <w:tcPr>
            <w:tcW w:w="0" w:type="auto"/>
            <w:shd w:val="clear" w:color="auto" w:fill="D9D9D9" w:themeFill="background1" w:themeFillShade="D9"/>
            <w:noWrap/>
            <w:textDirection w:val="btLr"/>
            <w:vAlign w:val="center"/>
            <w:hideMark/>
          </w:tcPr>
          <w:p w:rsidR="00746D2B" w:rsidRPr="00746D2B"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Metode</w:t>
            </w:r>
          </w:p>
        </w:tc>
        <w:tc>
          <w:tcPr>
            <w:tcW w:w="0" w:type="auto"/>
            <w:shd w:val="clear" w:color="auto" w:fill="D9D9D9" w:themeFill="background1" w:themeFillShade="D9"/>
            <w:noWrap/>
            <w:textDirection w:val="btLr"/>
            <w:vAlign w:val="center"/>
            <w:hideMark/>
          </w:tcPr>
          <w:p w:rsidR="00746D2B" w:rsidRPr="00746D2B"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Distribusjon</w:t>
            </w:r>
          </w:p>
        </w:tc>
        <w:tc>
          <w:tcPr>
            <w:tcW w:w="0" w:type="auto"/>
            <w:shd w:val="clear" w:color="auto" w:fill="D9D9D9" w:themeFill="background1" w:themeFillShade="D9"/>
            <w:noWrap/>
            <w:textDirection w:val="btLr"/>
            <w:vAlign w:val="center"/>
            <w:hideMark/>
          </w:tcPr>
          <w:p w:rsidR="000E52D5" w:rsidRDefault="000E52D5" w:rsidP="000E52D5">
            <w:pPr>
              <w:spacing w:after="0" w:line="240" w:lineRule="auto"/>
              <w:ind w:left="57"/>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Støtte-</w:t>
            </w:r>
          </w:p>
          <w:p w:rsidR="00746D2B" w:rsidRPr="00746D2B"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funksjon</w:t>
            </w:r>
          </w:p>
        </w:tc>
        <w:tc>
          <w:tcPr>
            <w:tcW w:w="0" w:type="auto"/>
            <w:shd w:val="clear" w:color="auto" w:fill="D9D9D9" w:themeFill="background1" w:themeFillShade="D9"/>
            <w:noWrap/>
            <w:textDirection w:val="btLr"/>
            <w:vAlign w:val="center"/>
            <w:hideMark/>
          </w:tcPr>
          <w:p w:rsidR="000E52D5"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Ny metode</w:t>
            </w:r>
          </w:p>
          <w:p w:rsidR="00746D2B" w:rsidRPr="00746D2B"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for markedet</w:t>
            </w:r>
          </w:p>
        </w:tc>
        <w:tc>
          <w:tcPr>
            <w:tcW w:w="0" w:type="auto"/>
            <w:shd w:val="clear" w:color="auto" w:fill="D9D9D9" w:themeFill="background1" w:themeFillShade="D9"/>
            <w:noWrap/>
            <w:textDirection w:val="btLr"/>
            <w:vAlign w:val="center"/>
            <w:hideMark/>
          </w:tcPr>
          <w:p w:rsidR="00746D2B" w:rsidRPr="00746D2B"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Design</w:t>
            </w:r>
          </w:p>
        </w:tc>
        <w:tc>
          <w:tcPr>
            <w:tcW w:w="0" w:type="auto"/>
            <w:shd w:val="clear" w:color="auto" w:fill="D9D9D9" w:themeFill="background1" w:themeFillShade="D9"/>
            <w:noWrap/>
            <w:textDirection w:val="btLr"/>
            <w:vAlign w:val="center"/>
            <w:hideMark/>
          </w:tcPr>
          <w:p w:rsidR="00746D2B" w:rsidRPr="00746D2B"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Media</w:t>
            </w:r>
          </w:p>
        </w:tc>
        <w:tc>
          <w:tcPr>
            <w:tcW w:w="0" w:type="auto"/>
            <w:shd w:val="clear" w:color="auto" w:fill="D9D9D9" w:themeFill="background1" w:themeFillShade="D9"/>
            <w:noWrap/>
            <w:textDirection w:val="btLr"/>
            <w:vAlign w:val="center"/>
            <w:hideMark/>
          </w:tcPr>
          <w:p w:rsidR="000E52D5" w:rsidRDefault="000E52D5" w:rsidP="000E52D5">
            <w:pPr>
              <w:spacing w:after="0" w:line="240" w:lineRule="auto"/>
              <w:ind w:left="57"/>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Markeds-</w:t>
            </w:r>
          </w:p>
          <w:p w:rsidR="00746D2B" w:rsidRPr="00746D2B"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kanal</w:t>
            </w:r>
          </w:p>
        </w:tc>
        <w:tc>
          <w:tcPr>
            <w:tcW w:w="0" w:type="auto"/>
            <w:shd w:val="clear" w:color="auto" w:fill="D9D9D9" w:themeFill="background1" w:themeFillShade="D9"/>
            <w:noWrap/>
            <w:textDirection w:val="btLr"/>
            <w:vAlign w:val="center"/>
            <w:hideMark/>
          </w:tcPr>
          <w:p w:rsidR="00746D2B" w:rsidRPr="00746D2B"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Prising</w:t>
            </w:r>
          </w:p>
        </w:tc>
        <w:tc>
          <w:tcPr>
            <w:tcW w:w="0" w:type="auto"/>
            <w:shd w:val="clear" w:color="auto" w:fill="D9D9D9" w:themeFill="background1" w:themeFillShade="D9"/>
            <w:noWrap/>
            <w:textDirection w:val="btLr"/>
            <w:vAlign w:val="center"/>
            <w:hideMark/>
          </w:tcPr>
          <w:p w:rsidR="000E52D5" w:rsidRDefault="000E52D5" w:rsidP="000E52D5">
            <w:pPr>
              <w:spacing w:after="0" w:line="240" w:lineRule="auto"/>
              <w:ind w:left="57"/>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Innovasjons-</w:t>
            </w:r>
          </w:p>
          <w:p w:rsidR="00746D2B" w:rsidRPr="00746D2B" w:rsidRDefault="00746D2B" w:rsidP="000E52D5">
            <w:pPr>
              <w:spacing w:after="0" w:line="240" w:lineRule="auto"/>
              <w:ind w:left="57"/>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grad</w:t>
            </w:r>
          </w:p>
        </w:tc>
      </w:tr>
      <w:tr w:rsidR="000E52D5" w:rsidRPr="00746D2B" w:rsidTr="00E02BD7">
        <w:trPr>
          <w:trHeight w:val="227"/>
        </w:trPr>
        <w:tc>
          <w:tcPr>
            <w:tcW w:w="0" w:type="auto"/>
            <w:shd w:val="clear" w:color="auto" w:fill="CCECFF"/>
            <w:noWrap/>
            <w:vAlign w:val="bottom"/>
            <w:hideMark/>
          </w:tcPr>
          <w:p w:rsidR="000E52D5" w:rsidRPr="00746D2B" w:rsidRDefault="000E52D5" w:rsidP="003E4219">
            <w:pPr>
              <w:spacing w:after="0" w:line="240" w:lineRule="auto"/>
              <w:rPr>
                <w:rFonts w:ascii="Arial" w:eastAsia="Times New Roman" w:hAnsi="Arial" w:cs="Arial"/>
                <w:sz w:val="18"/>
                <w:szCs w:val="18"/>
                <w:lang w:eastAsia="nb-NO"/>
              </w:rPr>
            </w:pPr>
          </w:p>
        </w:tc>
        <w:tc>
          <w:tcPr>
            <w:tcW w:w="0" w:type="auto"/>
            <w:shd w:val="clear" w:color="auto" w:fill="CCECFF"/>
            <w:noWrap/>
            <w:vAlign w:val="bottom"/>
            <w:hideMark/>
          </w:tcPr>
          <w:p w:rsidR="000E52D5" w:rsidRPr="00746D2B" w:rsidRDefault="000E52D5" w:rsidP="003E4219">
            <w:pPr>
              <w:spacing w:after="0" w:line="240" w:lineRule="auto"/>
              <w:rPr>
                <w:rFonts w:ascii="Arial" w:eastAsia="Times New Roman" w:hAnsi="Arial" w:cs="Arial"/>
                <w:sz w:val="18"/>
                <w:szCs w:val="18"/>
                <w:lang w:eastAsia="nb-NO"/>
              </w:rPr>
            </w:pPr>
            <w:r>
              <w:rPr>
                <w:rFonts w:ascii="Arial" w:eastAsia="Times New Roman" w:hAnsi="Arial" w:cs="Arial"/>
                <w:sz w:val="18"/>
                <w:szCs w:val="18"/>
                <w:lang w:eastAsia="nb-NO"/>
              </w:rPr>
              <w:t>Vekt</w:t>
            </w:r>
          </w:p>
        </w:tc>
        <w:tc>
          <w:tcPr>
            <w:tcW w:w="0" w:type="auto"/>
            <w:shd w:val="clear" w:color="auto" w:fill="auto"/>
            <w:noWrap/>
            <w:vAlign w:val="bottom"/>
            <w:hideMark/>
          </w:tcPr>
          <w:p w:rsidR="000E52D5" w:rsidRPr="00746D2B" w:rsidRDefault="000E52D5" w:rsidP="003E4219">
            <w:pPr>
              <w:spacing w:after="0" w:line="240" w:lineRule="auto"/>
              <w:rPr>
                <w:rFonts w:ascii="Arial" w:eastAsia="Times New Roman" w:hAnsi="Arial" w:cs="Arial"/>
                <w:sz w:val="18"/>
                <w:szCs w:val="18"/>
                <w:lang w:eastAsia="nb-NO"/>
              </w:rPr>
            </w:pPr>
          </w:p>
        </w:tc>
        <w:tc>
          <w:tcPr>
            <w:tcW w:w="0" w:type="auto"/>
            <w:shd w:val="clear" w:color="auto" w:fill="D9D9D9" w:themeFill="background1" w:themeFillShade="D9"/>
            <w:noWrap/>
            <w:vAlign w:val="bottom"/>
            <w:hideMark/>
          </w:tcPr>
          <w:p w:rsidR="000E52D5" w:rsidRPr="00746D2B" w:rsidRDefault="000E52D5" w:rsidP="003E4219">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w:t>
            </w:r>
          </w:p>
        </w:tc>
        <w:tc>
          <w:tcPr>
            <w:tcW w:w="0" w:type="auto"/>
            <w:shd w:val="clear" w:color="auto" w:fill="D9D9D9" w:themeFill="background1" w:themeFillShade="D9"/>
            <w:noWrap/>
            <w:vAlign w:val="bottom"/>
            <w:hideMark/>
          </w:tcPr>
          <w:p w:rsidR="000E52D5" w:rsidRPr="00746D2B" w:rsidRDefault="000E52D5" w:rsidP="003E4219">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w:t>
            </w:r>
          </w:p>
        </w:tc>
        <w:tc>
          <w:tcPr>
            <w:tcW w:w="0" w:type="auto"/>
            <w:shd w:val="clear" w:color="auto" w:fill="D9D9D9" w:themeFill="background1" w:themeFillShade="D9"/>
            <w:noWrap/>
            <w:vAlign w:val="bottom"/>
            <w:hideMark/>
          </w:tcPr>
          <w:p w:rsidR="000E52D5" w:rsidRPr="00746D2B" w:rsidRDefault="000E52D5" w:rsidP="003E4219">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w:t>
            </w:r>
          </w:p>
        </w:tc>
        <w:tc>
          <w:tcPr>
            <w:tcW w:w="0" w:type="auto"/>
            <w:shd w:val="clear" w:color="auto" w:fill="D9D9D9" w:themeFill="background1" w:themeFillShade="D9"/>
            <w:noWrap/>
            <w:vAlign w:val="bottom"/>
            <w:hideMark/>
          </w:tcPr>
          <w:p w:rsidR="000E52D5" w:rsidRPr="00746D2B" w:rsidRDefault="000E52D5" w:rsidP="003E4219">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w:t>
            </w:r>
          </w:p>
        </w:tc>
        <w:tc>
          <w:tcPr>
            <w:tcW w:w="0" w:type="auto"/>
            <w:shd w:val="clear" w:color="auto" w:fill="D9D9D9" w:themeFill="background1" w:themeFillShade="D9"/>
            <w:noWrap/>
            <w:vAlign w:val="bottom"/>
            <w:hideMark/>
          </w:tcPr>
          <w:p w:rsidR="000E52D5" w:rsidRPr="00746D2B" w:rsidRDefault="000E52D5" w:rsidP="003E4219">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w:t>
            </w:r>
          </w:p>
        </w:tc>
        <w:tc>
          <w:tcPr>
            <w:tcW w:w="0" w:type="auto"/>
            <w:shd w:val="clear" w:color="auto" w:fill="D9D9D9" w:themeFill="background1" w:themeFillShade="D9"/>
            <w:noWrap/>
            <w:vAlign w:val="bottom"/>
            <w:hideMark/>
          </w:tcPr>
          <w:p w:rsidR="000E52D5" w:rsidRPr="00746D2B" w:rsidRDefault="000E52D5" w:rsidP="003E4219">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w:t>
            </w:r>
          </w:p>
        </w:tc>
        <w:tc>
          <w:tcPr>
            <w:tcW w:w="0" w:type="auto"/>
            <w:shd w:val="clear" w:color="auto" w:fill="D9D9D9" w:themeFill="background1" w:themeFillShade="D9"/>
            <w:noWrap/>
            <w:vAlign w:val="bottom"/>
            <w:hideMark/>
          </w:tcPr>
          <w:p w:rsidR="000E52D5" w:rsidRPr="00746D2B" w:rsidRDefault="000E52D5" w:rsidP="003E4219">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w:t>
            </w:r>
          </w:p>
        </w:tc>
        <w:tc>
          <w:tcPr>
            <w:tcW w:w="0" w:type="auto"/>
            <w:shd w:val="clear" w:color="auto" w:fill="D9D9D9" w:themeFill="background1" w:themeFillShade="D9"/>
            <w:noWrap/>
            <w:vAlign w:val="bottom"/>
            <w:hideMark/>
          </w:tcPr>
          <w:p w:rsidR="000E52D5" w:rsidRPr="00746D2B" w:rsidRDefault="000E52D5" w:rsidP="003E4219">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w:t>
            </w:r>
          </w:p>
        </w:tc>
        <w:tc>
          <w:tcPr>
            <w:tcW w:w="0" w:type="auto"/>
            <w:shd w:val="clear" w:color="auto" w:fill="D9D9D9" w:themeFill="background1" w:themeFillShade="D9"/>
            <w:noWrap/>
            <w:vAlign w:val="bottom"/>
            <w:hideMark/>
          </w:tcPr>
          <w:p w:rsidR="000E52D5" w:rsidRPr="00746D2B" w:rsidRDefault="000E52D5" w:rsidP="003E4219">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w:t>
            </w:r>
          </w:p>
        </w:tc>
        <w:tc>
          <w:tcPr>
            <w:tcW w:w="0" w:type="auto"/>
            <w:shd w:val="clear" w:color="auto" w:fill="D9D9D9" w:themeFill="background1" w:themeFillShade="D9"/>
            <w:noWrap/>
            <w:vAlign w:val="bottom"/>
            <w:hideMark/>
          </w:tcPr>
          <w:p w:rsidR="000E52D5" w:rsidRPr="00746D2B" w:rsidRDefault="000E52D5" w:rsidP="003E4219">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w:t>
            </w:r>
          </w:p>
        </w:tc>
        <w:tc>
          <w:tcPr>
            <w:tcW w:w="0" w:type="auto"/>
            <w:shd w:val="clear" w:color="auto" w:fill="D9D9D9" w:themeFill="background1" w:themeFillShade="D9"/>
            <w:noWrap/>
            <w:vAlign w:val="bottom"/>
            <w:hideMark/>
          </w:tcPr>
          <w:p w:rsidR="000E52D5" w:rsidRPr="00746D2B" w:rsidRDefault="000E52D5" w:rsidP="003E4219">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0,5</w:t>
            </w:r>
          </w:p>
        </w:tc>
        <w:tc>
          <w:tcPr>
            <w:tcW w:w="0" w:type="auto"/>
            <w:shd w:val="clear" w:color="auto" w:fill="D9D9D9" w:themeFill="background1" w:themeFillShade="D9"/>
            <w:noWrap/>
            <w:vAlign w:val="bottom"/>
            <w:hideMark/>
          </w:tcPr>
          <w:p w:rsidR="000E52D5" w:rsidRPr="00746D2B" w:rsidRDefault="000E52D5" w:rsidP="003E4219">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0,5</w:t>
            </w:r>
          </w:p>
        </w:tc>
        <w:tc>
          <w:tcPr>
            <w:tcW w:w="0" w:type="auto"/>
            <w:shd w:val="clear" w:color="auto" w:fill="D9D9D9" w:themeFill="background1" w:themeFillShade="D9"/>
            <w:noWrap/>
            <w:vAlign w:val="bottom"/>
            <w:hideMark/>
          </w:tcPr>
          <w:p w:rsidR="000E52D5" w:rsidRPr="00746D2B" w:rsidRDefault="000E52D5" w:rsidP="003E4219">
            <w:pPr>
              <w:spacing w:after="0" w:line="240" w:lineRule="auto"/>
              <w:jc w:val="right"/>
              <w:rPr>
                <w:rFonts w:ascii="Arial" w:eastAsia="Times New Roman" w:hAnsi="Arial" w:cs="Arial"/>
                <w:color w:val="000000"/>
                <w:sz w:val="18"/>
                <w:szCs w:val="18"/>
                <w:lang w:eastAsia="nb-NO"/>
              </w:rPr>
            </w:pPr>
          </w:p>
        </w:tc>
      </w:tr>
      <w:tr w:rsidR="00A857BE" w:rsidRPr="000E52D5" w:rsidTr="000E52D5">
        <w:trPr>
          <w:trHeight w:val="227"/>
        </w:trPr>
        <w:tc>
          <w:tcPr>
            <w:tcW w:w="0" w:type="auto"/>
            <w:shd w:val="clear" w:color="000000" w:fill="6592CA"/>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4</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proofErr w:type="spellStart"/>
            <w:r w:rsidRPr="00746D2B">
              <w:rPr>
                <w:rFonts w:ascii="Arial" w:eastAsia="Times New Roman" w:hAnsi="Arial" w:cs="Arial"/>
                <w:color w:val="000000"/>
                <w:sz w:val="18"/>
                <w:szCs w:val="18"/>
                <w:lang w:eastAsia="nb-NO"/>
              </w:rPr>
              <w:t>Gjøvikregionen</w:t>
            </w:r>
            <w:proofErr w:type="spellEnd"/>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72</w:t>
            </w:r>
          </w:p>
        </w:tc>
        <w:tc>
          <w:tcPr>
            <w:tcW w:w="0" w:type="auto"/>
            <w:shd w:val="clear" w:color="000000" w:fill="7DA3D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29,2</w:t>
            </w:r>
          </w:p>
        </w:tc>
        <w:tc>
          <w:tcPr>
            <w:tcW w:w="0" w:type="auto"/>
            <w:shd w:val="clear" w:color="000000" w:fill="E1E9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6,9</w:t>
            </w:r>
          </w:p>
        </w:tc>
        <w:tc>
          <w:tcPr>
            <w:tcW w:w="0" w:type="auto"/>
            <w:shd w:val="clear" w:color="000000" w:fill="FBF4F7"/>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2,6</w:t>
            </w:r>
          </w:p>
        </w:tc>
        <w:tc>
          <w:tcPr>
            <w:tcW w:w="0" w:type="auto"/>
            <w:shd w:val="clear" w:color="000000" w:fill="8FAFD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12,5</w:t>
            </w:r>
          </w:p>
        </w:tc>
        <w:tc>
          <w:tcPr>
            <w:tcW w:w="0" w:type="auto"/>
            <w:shd w:val="clear" w:color="000000" w:fill="BACEE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16,7</w:t>
            </w:r>
          </w:p>
        </w:tc>
        <w:tc>
          <w:tcPr>
            <w:tcW w:w="0" w:type="auto"/>
            <w:shd w:val="clear" w:color="000000" w:fill="C9D8E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5,6</w:t>
            </w:r>
          </w:p>
        </w:tc>
        <w:tc>
          <w:tcPr>
            <w:tcW w:w="0" w:type="auto"/>
            <w:shd w:val="clear" w:color="000000" w:fill="E2EA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6,9</w:t>
            </w:r>
          </w:p>
        </w:tc>
        <w:tc>
          <w:tcPr>
            <w:tcW w:w="0" w:type="auto"/>
            <w:shd w:val="clear" w:color="000000" w:fill="D0DDF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8,3</w:t>
            </w:r>
          </w:p>
        </w:tc>
        <w:tc>
          <w:tcPr>
            <w:tcW w:w="0" w:type="auto"/>
            <w:shd w:val="clear" w:color="000000" w:fill="ECF1F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13,9</w:t>
            </w:r>
          </w:p>
        </w:tc>
        <w:tc>
          <w:tcPr>
            <w:tcW w:w="0" w:type="auto"/>
            <w:shd w:val="clear" w:color="000000" w:fill="D8E3F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16,7</w:t>
            </w:r>
          </w:p>
        </w:tc>
        <w:tc>
          <w:tcPr>
            <w:tcW w:w="0" w:type="auto"/>
            <w:shd w:val="clear" w:color="000000" w:fill="EDF1F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9,7</w:t>
            </w:r>
          </w:p>
        </w:tc>
        <w:tc>
          <w:tcPr>
            <w:tcW w:w="0" w:type="auto"/>
            <w:shd w:val="clear" w:color="000000" w:fill="D4E0F1"/>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9,6</w:t>
            </w:r>
          </w:p>
        </w:tc>
        <w:tc>
          <w:tcPr>
            <w:tcW w:w="0" w:type="auto"/>
            <w:shd w:val="clear" w:color="000000" w:fill="95B4D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257,6</w:t>
            </w:r>
          </w:p>
        </w:tc>
      </w:tr>
      <w:tr w:rsidR="00A857BE" w:rsidRPr="000E52D5" w:rsidTr="000E52D5">
        <w:trPr>
          <w:trHeight w:val="227"/>
        </w:trPr>
        <w:tc>
          <w:tcPr>
            <w:tcW w:w="0" w:type="auto"/>
            <w:shd w:val="clear" w:color="000000" w:fill="759DCF"/>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8</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Akershus Vest</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240</w:t>
            </w:r>
          </w:p>
        </w:tc>
        <w:tc>
          <w:tcPr>
            <w:tcW w:w="0" w:type="auto"/>
            <w:shd w:val="clear" w:color="000000" w:fill="DAE4F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17,9</w:t>
            </w:r>
          </w:p>
        </w:tc>
        <w:tc>
          <w:tcPr>
            <w:tcW w:w="0" w:type="auto"/>
            <w:shd w:val="clear" w:color="000000" w:fill="9AB7D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12,1</w:t>
            </w:r>
          </w:p>
        </w:tc>
        <w:tc>
          <w:tcPr>
            <w:tcW w:w="0" w:type="auto"/>
            <w:shd w:val="clear" w:color="000000" w:fill="E0E9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4,1</w:t>
            </w:r>
          </w:p>
        </w:tc>
        <w:tc>
          <w:tcPr>
            <w:tcW w:w="0" w:type="auto"/>
            <w:shd w:val="clear" w:color="000000" w:fill="A3BEE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10,8</w:t>
            </w:r>
          </w:p>
        </w:tc>
        <w:tc>
          <w:tcPr>
            <w:tcW w:w="0" w:type="auto"/>
            <w:shd w:val="clear" w:color="000000" w:fill="DFE8F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12,1</w:t>
            </w:r>
          </w:p>
        </w:tc>
        <w:tc>
          <w:tcPr>
            <w:tcW w:w="0" w:type="auto"/>
            <w:shd w:val="clear" w:color="000000" w:fill="E6ED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3,8</w:t>
            </w:r>
          </w:p>
        </w:tc>
        <w:tc>
          <w:tcPr>
            <w:tcW w:w="0" w:type="auto"/>
            <w:shd w:val="clear" w:color="000000" w:fill="CBDAE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8,8</w:t>
            </w:r>
          </w:p>
        </w:tc>
        <w:tc>
          <w:tcPr>
            <w:tcW w:w="0" w:type="auto"/>
            <w:shd w:val="clear" w:color="000000" w:fill="DBE5F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7,1</w:t>
            </w:r>
          </w:p>
        </w:tc>
        <w:tc>
          <w:tcPr>
            <w:tcW w:w="0" w:type="auto"/>
            <w:shd w:val="clear" w:color="000000" w:fill="DAE4F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17,1</w:t>
            </w:r>
          </w:p>
        </w:tc>
        <w:tc>
          <w:tcPr>
            <w:tcW w:w="0" w:type="auto"/>
            <w:shd w:val="clear" w:color="000000" w:fill="F1F4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13,3</w:t>
            </w:r>
          </w:p>
        </w:tc>
        <w:tc>
          <w:tcPr>
            <w:tcW w:w="0" w:type="auto"/>
            <w:shd w:val="clear" w:color="000000" w:fill="EAF0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10,0</w:t>
            </w:r>
          </w:p>
        </w:tc>
        <w:tc>
          <w:tcPr>
            <w:tcW w:w="0" w:type="auto"/>
            <w:shd w:val="clear" w:color="000000" w:fill="F9FAF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7,0</w:t>
            </w:r>
          </w:p>
        </w:tc>
        <w:tc>
          <w:tcPr>
            <w:tcW w:w="0" w:type="auto"/>
            <w:shd w:val="clear" w:color="000000" w:fill="ACC4E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233,9</w:t>
            </w:r>
          </w:p>
        </w:tc>
      </w:tr>
      <w:tr w:rsidR="00A857BE" w:rsidRPr="000E52D5" w:rsidTr="000E52D5">
        <w:trPr>
          <w:trHeight w:val="227"/>
        </w:trPr>
        <w:tc>
          <w:tcPr>
            <w:tcW w:w="0" w:type="auto"/>
            <w:shd w:val="clear" w:color="000000" w:fill="81A5D3"/>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11</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Fjellregionen</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w:t>
            </w:r>
          </w:p>
        </w:tc>
        <w:tc>
          <w:tcPr>
            <w:tcW w:w="0" w:type="auto"/>
            <w:shd w:val="clear" w:color="000000" w:fill="DCE5F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17,6</w:t>
            </w:r>
          </w:p>
        </w:tc>
        <w:tc>
          <w:tcPr>
            <w:tcW w:w="0" w:type="auto"/>
            <w:shd w:val="clear" w:color="000000" w:fill="9EBAD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11,8</w:t>
            </w:r>
          </w:p>
        </w:tc>
        <w:tc>
          <w:tcPr>
            <w:tcW w:w="0" w:type="auto"/>
            <w:shd w:val="clear" w:color="000000" w:fill="FBEEF1"/>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2,5</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83A7D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23,5</w:t>
            </w:r>
          </w:p>
        </w:tc>
        <w:tc>
          <w:tcPr>
            <w:tcW w:w="0" w:type="auto"/>
            <w:shd w:val="clear" w:color="000000" w:fill="C4D5EC"/>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5,9</w:t>
            </w:r>
          </w:p>
        </w:tc>
        <w:tc>
          <w:tcPr>
            <w:tcW w:w="0" w:type="auto"/>
            <w:shd w:val="clear" w:color="000000" w:fill="5A8AC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17,6</w:t>
            </w:r>
          </w:p>
        </w:tc>
        <w:tc>
          <w:tcPr>
            <w:tcW w:w="0" w:type="auto"/>
            <w:shd w:val="clear" w:color="000000" w:fill="E6ED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5,9</w:t>
            </w:r>
          </w:p>
        </w:tc>
        <w:tc>
          <w:tcPr>
            <w:tcW w:w="0" w:type="auto"/>
            <w:shd w:val="clear" w:color="000000" w:fill="B6CBE7"/>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23,5</w:t>
            </w:r>
          </w:p>
        </w:tc>
        <w:tc>
          <w:tcPr>
            <w:tcW w:w="0" w:type="auto"/>
            <w:shd w:val="clear" w:color="000000" w:fill="FCFCF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11,8</w:t>
            </w:r>
          </w:p>
        </w:tc>
        <w:tc>
          <w:tcPr>
            <w:tcW w:w="0" w:type="auto"/>
            <w:shd w:val="clear" w:color="000000" w:fill="FAD6D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5,9</w:t>
            </w:r>
          </w:p>
        </w:tc>
        <w:tc>
          <w:tcPr>
            <w:tcW w:w="0" w:type="auto"/>
            <w:shd w:val="clear" w:color="000000" w:fill="709AC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16,7</w:t>
            </w:r>
          </w:p>
        </w:tc>
        <w:tc>
          <w:tcPr>
            <w:tcW w:w="0" w:type="auto"/>
            <w:shd w:val="clear" w:color="000000" w:fill="B2C8E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227,2</w:t>
            </w:r>
          </w:p>
        </w:tc>
      </w:tr>
      <w:tr w:rsidR="00A857BE" w:rsidRPr="000E52D5" w:rsidTr="00A857BE">
        <w:trPr>
          <w:trHeight w:val="227"/>
        </w:trPr>
        <w:tc>
          <w:tcPr>
            <w:tcW w:w="0" w:type="auto"/>
            <w:shd w:val="clear" w:color="000000" w:fill="8DAED8"/>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14</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proofErr w:type="spellStart"/>
            <w:r w:rsidRPr="00746D2B">
              <w:rPr>
                <w:rFonts w:ascii="Arial" w:eastAsia="Times New Roman" w:hAnsi="Arial" w:cs="Arial"/>
                <w:color w:val="000000"/>
                <w:sz w:val="18"/>
                <w:szCs w:val="18"/>
                <w:lang w:eastAsia="nb-NO"/>
              </w:rPr>
              <w:t>Vestviken</w:t>
            </w:r>
            <w:proofErr w:type="spellEnd"/>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54</w:t>
            </w:r>
          </w:p>
        </w:tc>
        <w:tc>
          <w:tcPr>
            <w:tcW w:w="0" w:type="auto"/>
            <w:shd w:val="clear" w:color="000000" w:fill="A7C0E1"/>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24,1</w:t>
            </w:r>
          </w:p>
        </w:tc>
        <w:tc>
          <w:tcPr>
            <w:tcW w:w="0" w:type="auto"/>
            <w:shd w:val="clear" w:color="000000" w:fill="DBE5F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7,4</w:t>
            </w:r>
          </w:p>
        </w:tc>
        <w:tc>
          <w:tcPr>
            <w:tcW w:w="0" w:type="auto"/>
            <w:shd w:val="clear" w:color="000000" w:fill="FAFBF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2,9</w:t>
            </w:r>
          </w:p>
        </w:tc>
        <w:tc>
          <w:tcPr>
            <w:tcW w:w="0" w:type="auto"/>
            <w:shd w:val="clear" w:color="000000" w:fill="729BC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14,8</w:t>
            </w:r>
          </w:p>
        </w:tc>
        <w:tc>
          <w:tcPr>
            <w:tcW w:w="0" w:type="auto"/>
            <w:shd w:val="clear" w:color="000000" w:fill="FBEAE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7,4</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BD8D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3,7</w:t>
            </w:r>
          </w:p>
        </w:tc>
        <w:tc>
          <w:tcPr>
            <w:tcW w:w="0" w:type="auto"/>
            <w:shd w:val="clear" w:color="000000" w:fill="E9EF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5,6</w:t>
            </w:r>
          </w:p>
        </w:tc>
        <w:tc>
          <w:tcPr>
            <w:tcW w:w="0" w:type="auto"/>
            <w:shd w:val="clear" w:color="000000" w:fill="F1F4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13,0</w:t>
            </w:r>
          </w:p>
        </w:tc>
        <w:tc>
          <w:tcPr>
            <w:tcW w:w="0" w:type="auto"/>
            <w:shd w:val="clear" w:color="000000" w:fill="F3F6FC"/>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13,0</w:t>
            </w:r>
          </w:p>
        </w:tc>
        <w:tc>
          <w:tcPr>
            <w:tcW w:w="0" w:type="auto"/>
            <w:shd w:val="clear" w:color="000000" w:fill="E1E9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11,1</w:t>
            </w:r>
          </w:p>
        </w:tc>
        <w:tc>
          <w:tcPr>
            <w:tcW w:w="0" w:type="auto"/>
            <w:shd w:val="clear" w:color="000000" w:fill="D9E3F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9,3</w:t>
            </w:r>
          </w:p>
        </w:tc>
        <w:tc>
          <w:tcPr>
            <w:tcW w:w="0" w:type="auto"/>
            <w:shd w:val="clear" w:color="000000" w:fill="BBCEE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218,0</w:t>
            </w:r>
          </w:p>
        </w:tc>
      </w:tr>
      <w:tr w:rsidR="00A857BE" w:rsidRPr="000E52D5" w:rsidTr="000E52D5">
        <w:trPr>
          <w:trHeight w:val="227"/>
        </w:trPr>
        <w:tc>
          <w:tcPr>
            <w:tcW w:w="0" w:type="auto"/>
            <w:shd w:val="clear" w:color="000000" w:fill="99B6DC"/>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17</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Vest-Telemark</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16</w:t>
            </w:r>
          </w:p>
        </w:tc>
        <w:tc>
          <w:tcPr>
            <w:tcW w:w="0" w:type="auto"/>
            <w:shd w:val="clear" w:color="000000" w:fill="D3DFF1"/>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18,8</w:t>
            </w:r>
          </w:p>
        </w:tc>
        <w:tc>
          <w:tcPr>
            <w:tcW w:w="0" w:type="auto"/>
            <w:shd w:val="clear" w:color="000000" w:fill="EBF0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6,3</w:t>
            </w:r>
          </w:p>
        </w:tc>
        <w:tc>
          <w:tcPr>
            <w:tcW w:w="0" w:type="auto"/>
            <w:shd w:val="clear" w:color="000000" w:fill="F5F7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3,1</w:t>
            </w:r>
          </w:p>
        </w:tc>
        <w:tc>
          <w:tcPr>
            <w:tcW w:w="0" w:type="auto"/>
            <w:shd w:val="clear" w:color="000000" w:fill="8FAFD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12,5</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BED1E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6,3</w:t>
            </w:r>
          </w:p>
        </w:tc>
        <w:tc>
          <w:tcPr>
            <w:tcW w:w="0" w:type="auto"/>
            <w:shd w:val="clear" w:color="000000" w:fill="9CB8D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12,5</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AEC5E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25,0</w:t>
            </w:r>
          </w:p>
        </w:tc>
        <w:tc>
          <w:tcPr>
            <w:tcW w:w="0" w:type="auto"/>
            <w:shd w:val="clear" w:color="000000" w:fill="FAB7B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6,3</w:t>
            </w:r>
          </w:p>
        </w:tc>
        <w:tc>
          <w:tcPr>
            <w:tcW w:w="0" w:type="auto"/>
            <w:shd w:val="clear" w:color="000000" w:fill="D5E0F1"/>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12,5</w:t>
            </w:r>
          </w:p>
        </w:tc>
        <w:tc>
          <w:tcPr>
            <w:tcW w:w="0" w:type="auto"/>
            <w:shd w:val="clear" w:color="000000" w:fill="ABC3E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12,5</w:t>
            </w:r>
          </w:p>
        </w:tc>
        <w:tc>
          <w:tcPr>
            <w:tcW w:w="0" w:type="auto"/>
            <w:shd w:val="clear" w:color="000000" w:fill="CBDAE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200,0</w:t>
            </w:r>
          </w:p>
        </w:tc>
      </w:tr>
      <w:tr w:rsidR="00A857BE" w:rsidRPr="000E52D5" w:rsidTr="000E52D5">
        <w:trPr>
          <w:trHeight w:val="227"/>
        </w:trPr>
        <w:tc>
          <w:tcPr>
            <w:tcW w:w="0" w:type="auto"/>
            <w:shd w:val="clear" w:color="000000" w:fill="A1BCDF"/>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19</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Midt-Buskerud</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19</w:t>
            </w:r>
          </w:p>
        </w:tc>
        <w:tc>
          <w:tcPr>
            <w:tcW w:w="0" w:type="auto"/>
            <w:shd w:val="clear" w:color="000000" w:fill="EBF0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15,8</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A7C1E2"/>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10,5</w:t>
            </w:r>
          </w:p>
        </w:tc>
        <w:tc>
          <w:tcPr>
            <w:tcW w:w="0" w:type="auto"/>
            <w:shd w:val="clear" w:color="000000" w:fill="6D97C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26,3</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BCCFE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10,5</w:t>
            </w:r>
          </w:p>
        </w:tc>
        <w:tc>
          <w:tcPr>
            <w:tcW w:w="0" w:type="auto"/>
            <w:shd w:val="clear" w:color="000000" w:fill="FBF6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10,5</w:t>
            </w:r>
          </w:p>
        </w:tc>
        <w:tc>
          <w:tcPr>
            <w:tcW w:w="0" w:type="auto"/>
            <w:shd w:val="clear" w:color="000000" w:fill="FBECE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10,5</w:t>
            </w:r>
          </w:p>
        </w:tc>
        <w:tc>
          <w:tcPr>
            <w:tcW w:w="0" w:type="auto"/>
            <w:shd w:val="clear" w:color="000000" w:fill="FACBC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5,3</w:t>
            </w:r>
          </w:p>
        </w:tc>
        <w:tc>
          <w:tcPr>
            <w:tcW w:w="0" w:type="auto"/>
            <w:shd w:val="clear" w:color="000000" w:fill="FBDBD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5,3</w:t>
            </w:r>
          </w:p>
        </w:tc>
        <w:tc>
          <w:tcPr>
            <w:tcW w:w="0" w:type="auto"/>
            <w:shd w:val="clear" w:color="000000" w:fill="D0DDF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194,7</w:t>
            </w:r>
          </w:p>
        </w:tc>
      </w:tr>
      <w:tr w:rsidR="00A857BE" w:rsidRPr="000E52D5" w:rsidTr="000E52D5">
        <w:trPr>
          <w:trHeight w:val="227"/>
        </w:trPr>
        <w:tc>
          <w:tcPr>
            <w:tcW w:w="0" w:type="auto"/>
            <w:shd w:val="clear" w:color="000000" w:fill="A5BEE0"/>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20</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proofErr w:type="spellStart"/>
            <w:r w:rsidRPr="00746D2B">
              <w:rPr>
                <w:rFonts w:ascii="Arial" w:eastAsia="Times New Roman" w:hAnsi="Arial" w:cs="Arial"/>
                <w:color w:val="000000"/>
                <w:sz w:val="18"/>
                <w:szCs w:val="18"/>
                <w:lang w:eastAsia="nb-NO"/>
              </w:rPr>
              <w:t>Tønsbergregionen</w:t>
            </w:r>
            <w:proofErr w:type="spellEnd"/>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136</w:t>
            </w:r>
          </w:p>
        </w:tc>
        <w:tc>
          <w:tcPr>
            <w:tcW w:w="0" w:type="auto"/>
            <w:shd w:val="clear" w:color="000000" w:fill="DCE5F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17,6</w:t>
            </w:r>
          </w:p>
        </w:tc>
        <w:tc>
          <w:tcPr>
            <w:tcW w:w="0" w:type="auto"/>
            <w:shd w:val="clear" w:color="000000" w:fill="E5ECF7"/>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6,6</w:t>
            </w:r>
          </w:p>
        </w:tc>
        <w:tc>
          <w:tcPr>
            <w:tcW w:w="0" w:type="auto"/>
            <w:shd w:val="clear" w:color="000000" w:fill="E0E9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4,2</w:t>
            </w:r>
          </w:p>
        </w:tc>
        <w:tc>
          <w:tcPr>
            <w:tcW w:w="0" w:type="auto"/>
            <w:shd w:val="clear" w:color="000000" w:fill="BDCFE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8,8</w:t>
            </w:r>
          </w:p>
        </w:tc>
        <w:tc>
          <w:tcPr>
            <w:tcW w:w="0" w:type="auto"/>
            <w:shd w:val="clear" w:color="000000" w:fill="FBF6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8,1</w:t>
            </w:r>
          </w:p>
        </w:tc>
        <w:tc>
          <w:tcPr>
            <w:tcW w:w="0" w:type="auto"/>
            <w:shd w:val="clear" w:color="000000" w:fill="E7EE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3,7</w:t>
            </w:r>
          </w:p>
        </w:tc>
        <w:tc>
          <w:tcPr>
            <w:tcW w:w="0" w:type="auto"/>
            <w:shd w:val="clear" w:color="000000" w:fill="FBEDF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4,4</w:t>
            </w:r>
          </w:p>
        </w:tc>
        <w:tc>
          <w:tcPr>
            <w:tcW w:w="0" w:type="auto"/>
            <w:shd w:val="clear" w:color="000000" w:fill="EDF1F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5,1</w:t>
            </w:r>
          </w:p>
        </w:tc>
        <w:tc>
          <w:tcPr>
            <w:tcW w:w="0" w:type="auto"/>
            <w:shd w:val="clear" w:color="000000" w:fill="E7EE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14,7</w:t>
            </w:r>
          </w:p>
        </w:tc>
        <w:tc>
          <w:tcPr>
            <w:tcW w:w="0" w:type="auto"/>
            <w:shd w:val="clear" w:color="000000" w:fill="FBF2F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11,0</w:t>
            </w:r>
          </w:p>
        </w:tc>
        <w:tc>
          <w:tcPr>
            <w:tcW w:w="0" w:type="auto"/>
            <w:shd w:val="clear" w:color="000000" w:fill="E1E9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11,0</w:t>
            </w:r>
          </w:p>
        </w:tc>
        <w:tc>
          <w:tcPr>
            <w:tcW w:w="0" w:type="auto"/>
            <w:shd w:val="clear" w:color="000000" w:fill="E1E9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8,7</w:t>
            </w:r>
          </w:p>
        </w:tc>
        <w:tc>
          <w:tcPr>
            <w:tcW w:w="0" w:type="auto"/>
            <w:shd w:val="clear" w:color="000000" w:fill="D4E0F1"/>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190,4</w:t>
            </w:r>
          </w:p>
        </w:tc>
      </w:tr>
      <w:tr w:rsidR="00A857BE" w:rsidRPr="000E52D5" w:rsidTr="000E52D5">
        <w:trPr>
          <w:trHeight w:val="227"/>
        </w:trPr>
        <w:tc>
          <w:tcPr>
            <w:tcW w:w="0" w:type="auto"/>
            <w:shd w:val="clear" w:color="000000" w:fill="A9C1E1"/>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21</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Midt-Telemark</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w:t>
            </w:r>
          </w:p>
        </w:tc>
        <w:tc>
          <w:tcPr>
            <w:tcW w:w="0" w:type="auto"/>
            <w:shd w:val="clear" w:color="000000" w:fill="BDD0E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21,4</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92B1D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8,0</w:t>
            </w:r>
          </w:p>
        </w:tc>
        <w:tc>
          <w:tcPr>
            <w:tcW w:w="0" w:type="auto"/>
            <w:shd w:val="clear" w:color="000000" w:fill="D2DEF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7,1</w:t>
            </w:r>
          </w:p>
        </w:tc>
        <w:tc>
          <w:tcPr>
            <w:tcW w:w="0" w:type="auto"/>
            <w:shd w:val="clear" w:color="000000" w:fill="CDDBE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14,3</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9BB8D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14,3</w:t>
            </w:r>
          </w:p>
        </w:tc>
        <w:tc>
          <w:tcPr>
            <w:tcW w:w="0" w:type="auto"/>
            <w:shd w:val="clear" w:color="000000" w:fill="FAC9C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7,1</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D6E1F2"/>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189,1</w:t>
            </w:r>
          </w:p>
        </w:tc>
      </w:tr>
      <w:tr w:rsidR="00A857BE" w:rsidRPr="000E52D5" w:rsidTr="000E52D5">
        <w:trPr>
          <w:trHeight w:val="227"/>
        </w:trPr>
        <w:tc>
          <w:tcPr>
            <w:tcW w:w="0" w:type="auto"/>
            <w:shd w:val="clear" w:color="000000" w:fill="B0C7E4"/>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23</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Oslo</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963</w:t>
            </w:r>
          </w:p>
        </w:tc>
        <w:tc>
          <w:tcPr>
            <w:tcW w:w="0" w:type="auto"/>
            <w:shd w:val="clear" w:color="000000" w:fill="FBF4F7"/>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13,0</w:t>
            </w:r>
          </w:p>
        </w:tc>
        <w:tc>
          <w:tcPr>
            <w:tcW w:w="0" w:type="auto"/>
            <w:shd w:val="clear" w:color="000000" w:fill="92B1D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12,7</w:t>
            </w:r>
          </w:p>
        </w:tc>
        <w:tc>
          <w:tcPr>
            <w:tcW w:w="0" w:type="auto"/>
            <w:shd w:val="clear" w:color="000000" w:fill="DCE6F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4,3</w:t>
            </w:r>
          </w:p>
        </w:tc>
        <w:tc>
          <w:tcPr>
            <w:tcW w:w="0" w:type="auto"/>
            <w:shd w:val="clear" w:color="000000" w:fill="E1E9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5,9</w:t>
            </w:r>
          </w:p>
        </w:tc>
        <w:tc>
          <w:tcPr>
            <w:tcW w:w="0" w:type="auto"/>
            <w:shd w:val="clear" w:color="000000" w:fill="FACDC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5,7</w:t>
            </w:r>
          </w:p>
        </w:tc>
        <w:tc>
          <w:tcPr>
            <w:tcW w:w="0" w:type="auto"/>
            <w:shd w:val="clear" w:color="000000" w:fill="D4E0F1"/>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4,9</w:t>
            </w:r>
          </w:p>
        </w:tc>
        <w:tc>
          <w:tcPr>
            <w:tcW w:w="0" w:type="auto"/>
            <w:shd w:val="clear" w:color="000000" w:fill="E2EA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7,0</w:t>
            </w:r>
          </w:p>
        </w:tc>
        <w:tc>
          <w:tcPr>
            <w:tcW w:w="0" w:type="auto"/>
            <w:shd w:val="clear" w:color="000000" w:fill="F0F4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4,8</w:t>
            </w:r>
          </w:p>
        </w:tc>
        <w:tc>
          <w:tcPr>
            <w:tcW w:w="0" w:type="auto"/>
            <w:shd w:val="clear" w:color="000000" w:fill="DEE7F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16,4</w:t>
            </w:r>
          </w:p>
        </w:tc>
        <w:tc>
          <w:tcPr>
            <w:tcW w:w="0" w:type="auto"/>
            <w:shd w:val="clear" w:color="000000" w:fill="E8EE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14,4</w:t>
            </w:r>
          </w:p>
        </w:tc>
        <w:tc>
          <w:tcPr>
            <w:tcW w:w="0" w:type="auto"/>
            <w:shd w:val="clear" w:color="000000" w:fill="E6ED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10,5</w:t>
            </w:r>
          </w:p>
        </w:tc>
        <w:tc>
          <w:tcPr>
            <w:tcW w:w="0" w:type="auto"/>
            <w:shd w:val="clear" w:color="000000" w:fill="D9E3F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9,3</w:t>
            </w:r>
          </w:p>
        </w:tc>
        <w:tc>
          <w:tcPr>
            <w:tcW w:w="0" w:type="auto"/>
            <w:shd w:val="clear" w:color="000000" w:fill="D8E3F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187,0</w:t>
            </w:r>
          </w:p>
        </w:tc>
      </w:tr>
      <w:tr w:rsidR="00A857BE" w:rsidRPr="000E52D5" w:rsidTr="000E52D5">
        <w:trPr>
          <w:trHeight w:val="227"/>
        </w:trPr>
        <w:tc>
          <w:tcPr>
            <w:tcW w:w="0" w:type="auto"/>
            <w:shd w:val="clear" w:color="000000" w:fill="B8CCE7"/>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25</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Kongsberg/Numedal</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30</w:t>
            </w:r>
          </w:p>
        </w:tc>
        <w:tc>
          <w:tcPr>
            <w:tcW w:w="0" w:type="auto"/>
            <w:shd w:val="clear" w:color="000000" w:fill="ADC4E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23,3</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CFCF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2,8</w:t>
            </w:r>
          </w:p>
        </w:tc>
        <w:tc>
          <w:tcPr>
            <w:tcW w:w="0" w:type="auto"/>
            <w:shd w:val="clear" w:color="000000" w:fill="5A8AC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16,7</w:t>
            </w:r>
          </w:p>
        </w:tc>
        <w:tc>
          <w:tcPr>
            <w:tcW w:w="0" w:type="auto"/>
            <w:shd w:val="clear" w:color="000000" w:fill="F0F3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BF9FC"/>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3,3</w:t>
            </w:r>
          </w:p>
        </w:tc>
        <w:tc>
          <w:tcPr>
            <w:tcW w:w="0" w:type="auto"/>
            <w:shd w:val="clear" w:color="000000" w:fill="FBEFF2"/>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10,0</w:t>
            </w:r>
          </w:p>
        </w:tc>
        <w:tc>
          <w:tcPr>
            <w:tcW w:w="0" w:type="auto"/>
            <w:shd w:val="clear" w:color="000000" w:fill="FABCB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shd w:val="clear" w:color="000000" w:fill="FBE5E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shd w:val="clear" w:color="000000" w:fill="F9B1B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3,3</w:t>
            </w:r>
          </w:p>
        </w:tc>
        <w:tc>
          <w:tcPr>
            <w:tcW w:w="0" w:type="auto"/>
            <w:shd w:val="clear" w:color="000000" w:fill="D8E3F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186,1</w:t>
            </w:r>
          </w:p>
        </w:tc>
      </w:tr>
      <w:tr w:rsidR="00A857BE" w:rsidRPr="000E52D5" w:rsidTr="000E52D5">
        <w:trPr>
          <w:trHeight w:val="227"/>
        </w:trPr>
        <w:tc>
          <w:tcPr>
            <w:tcW w:w="0" w:type="auto"/>
            <w:shd w:val="clear" w:color="000000" w:fill="BCCFE8"/>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26</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Ringerike/Hole</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28</w:t>
            </w:r>
          </w:p>
        </w:tc>
        <w:tc>
          <w:tcPr>
            <w:tcW w:w="0" w:type="auto"/>
            <w:shd w:val="clear" w:color="000000" w:fill="F7F9F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14,3</w:t>
            </w:r>
          </w:p>
        </w:tc>
        <w:tc>
          <w:tcPr>
            <w:tcW w:w="0" w:type="auto"/>
            <w:shd w:val="clear" w:color="000000" w:fill="FAD3D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3,6</w:t>
            </w:r>
          </w:p>
        </w:tc>
        <w:tc>
          <w:tcPr>
            <w:tcW w:w="0" w:type="auto"/>
            <w:shd w:val="clear" w:color="000000" w:fill="5A8AC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10,7</w:t>
            </w:r>
          </w:p>
        </w:tc>
        <w:tc>
          <w:tcPr>
            <w:tcW w:w="0" w:type="auto"/>
            <w:shd w:val="clear" w:color="000000" w:fill="FBF6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3,6</w:t>
            </w:r>
          </w:p>
        </w:tc>
        <w:tc>
          <w:tcPr>
            <w:tcW w:w="0" w:type="auto"/>
            <w:shd w:val="clear" w:color="000000" w:fill="FBE6E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7,1</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E0E8F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7,1</w:t>
            </w:r>
          </w:p>
        </w:tc>
        <w:tc>
          <w:tcPr>
            <w:tcW w:w="0" w:type="auto"/>
            <w:shd w:val="clear" w:color="000000" w:fill="DBE5F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7,1</w:t>
            </w:r>
          </w:p>
        </w:tc>
        <w:tc>
          <w:tcPr>
            <w:tcW w:w="0" w:type="auto"/>
            <w:shd w:val="clear" w:color="000000" w:fill="D6E1F2"/>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17,9</w:t>
            </w:r>
          </w:p>
        </w:tc>
        <w:tc>
          <w:tcPr>
            <w:tcW w:w="0" w:type="auto"/>
            <w:shd w:val="clear" w:color="000000" w:fill="F99597"/>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3,6</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7F9F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7,1</w:t>
            </w:r>
          </w:p>
        </w:tc>
        <w:tc>
          <w:tcPr>
            <w:tcW w:w="0" w:type="auto"/>
            <w:shd w:val="clear" w:color="000000" w:fill="E0E8F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178,6</w:t>
            </w:r>
          </w:p>
        </w:tc>
      </w:tr>
      <w:tr w:rsidR="00A857BE" w:rsidRPr="000E52D5" w:rsidTr="000E52D5">
        <w:trPr>
          <w:trHeight w:val="227"/>
        </w:trPr>
        <w:tc>
          <w:tcPr>
            <w:tcW w:w="0" w:type="auto"/>
            <w:shd w:val="clear" w:color="000000" w:fill="D0DDEF"/>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31</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Nedre Romerike</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119</w:t>
            </w:r>
          </w:p>
        </w:tc>
        <w:tc>
          <w:tcPr>
            <w:tcW w:w="0" w:type="auto"/>
            <w:shd w:val="clear" w:color="000000" w:fill="E3EA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16,8</w:t>
            </w:r>
          </w:p>
        </w:tc>
        <w:tc>
          <w:tcPr>
            <w:tcW w:w="0" w:type="auto"/>
            <w:shd w:val="clear" w:color="000000" w:fill="FBFCF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5,0</w:t>
            </w:r>
          </w:p>
        </w:tc>
        <w:tc>
          <w:tcPr>
            <w:tcW w:w="0" w:type="auto"/>
            <w:shd w:val="clear" w:color="000000" w:fill="DEE7F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4,2</w:t>
            </w:r>
          </w:p>
        </w:tc>
        <w:tc>
          <w:tcPr>
            <w:tcW w:w="0" w:type="auto"/>
            <w:shd w:val="clear" w:color="000000" w:fill="F6F8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4,2</w:t>
            </w:r>
          </w:p>
        </w:tc>
        <w:tc>
          <w:tcPr>
            <w:tcW w:w="0" w:type="auto"/>
            <w:shd w:val="clear" w:color="000000" w:fill="EFF3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10,1</w:t>
            </w:r>
          </w:p>
        </w:tc>
        <w:tc>
          <w:tcPr>
            <w:tcW w:w="0" w:type="auto"/>
            <w:shd w:val="clear" w:color="000000" w:fill="DFE8F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4,2</w:t>
            </w:r>
          </w:p>
        </w:tc>
        <w:tc>
          <w:tcPr>
            <w:tcW w:w="0" w:type="auto"/>
            <w:shd w:val="clear" w:color="000000" w:fill="F0F4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5,9</w:t>
            </w:r>
          </w:p>
        </w:tc>
        <w:tc>
          <w:tcPr>
            <w:tcW w:w="0" w:type="auto"/>
            <w:shd w:val="clear" w:color="000000" w:fill="E6ED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5,9</w:t>
            </w:r>
          </w:p>
        </w:tc>
        <w:tc>
          <w:tcPr>
            <w:tcW w:w="0" w:type="auto"/>
            <w:shd w:val="clear" w:color="000000" w:fill="FBE5E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9,2</w:t>
            </w:r>
          </w:p>
        </w:tc>
        <w:tc>
          <w:tcPr>
            <w:tcW w:w="0" w:type="auto"/>
            <w:shd w:val="clear" w:color="000000" w:fill="F0F4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13,4</w:t>
            </w:r>
          </w:p>
        </w:tc>
        <w:tc>
          <w:tcPr>
            <w:tcW w:w="0" w:type="auto"/>
            <w:shd w:val="clear" w:color="000000" w:fill="E2EA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10,9</w:t>
            </w:r>
          </w:p>
        </w:tc>
        <w:tc>
          <w:tcPr>
            <w:tcW w:w="0" w:type="auto"/>
            <w:shd w:val="clear" w:color="000000" w:fill="FBE9E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5,9</w:t>
            </w:r>
          </w:p>
        </w:tc>
        <w:tc>
          <w:tcPr>
            <w:tcW w:w="0" w:type="auto"/>
            <w:shd w:val="clear" w:color="000000" w:fill="ECF1F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165,7</w:t>
            </w:r>
          </w:p>
        </w:tc>
      </w:tr>
      <w:tr w:rsidR="00A857BE" w:rsidRPr="000E52D5" w:rsidTr="000E52D5">
        <w:trPr>
          <w:trHeight w:val="227"/>
        </w:trPr>
        <w:tc>
          <w:tcPr>
            <w:tcW w:w="0" w:type="auto"/>
            <w:shd w:val="clear" w:color="000000" w:fill="D8E2F2"/>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33</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Lillehammerregionen</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27</w:t>
            </w:r>
          </w:p>
        </w:tc>
        <w:tc>
          <w:tcPr>
            <w:tcW w:w="0" w:type="auto"/>
            <w:shd w:val="clear" w:color="000000" w:fill="F9909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3,7</w:t>
            </w:r>
          </w:p>
        </w:tc>
        <w:tc>
          <w:tcPr>
            <w:tcW w:w="0" w:type="auto"/>
            <w:shd w:val="clear" w:color="000000" w:fill="A7C1E2"/>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11,1</w:t>
            </w:r>
          </w:p>
        </w:tc>
        <w:tc>
          <w:tcPr>
            <w:tcW w:w="0" w:type="auto"/>
            <w:shd w:val="clear" w:color="000000" w:fill="F99DA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w:t>
            </w:r>
          </w:p>
        </w:tc>
        <w:tc>
          <w:tcPr>
            <w:tcW w:w="0" w:type="auto"/>
            <w:shd w:val="clear" w:color="000000" w:fill="FCFCF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3,7</w:t>
            </w:r>
          </w:p>
        </w:tc>
        <w:tc>
          <w:tcPr>
            <w:tcW w:w="0" w:type="auto"/>
            <w:shd w:val="clear" w:color="000000" w:fill="E7ED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11,1</w:t>
            </w:r>
          </w:p>
        </w:tc>
        <w:tc>
          <w:tcPr>
            <w:tcW w:w="0" w:type="auto"/>
            <w:shd w:val="clear" w:color="000000" w:fill="719AC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11,1</w:t>
            </w:r>
          </w:p>
        </w:tc>
        <w:tc>
          <w:tcPr>
            <w:tcW w:w="0" w:type="auto"/>
            <w:shd w:val="clear" w:color="000000" w:fill="ADC5E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11,1</w:t>
            </w:r>
          </w:p>
        </w:tc>
        <w:tc>
          <w:tcPr>
            <w:tcW w:w="0" w:type="auto"/>
            <w:shd w:val="clear" w:color="000000" w:fill="D8E3F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7,4</w:t>
            </w:r>
          </w:p>
        </w:tc>
        <w:tc>
          <w:tcPr>
            <w:tcW w:w="0" w:type="auto"/>
            <w:shd w:val="clear" w:color="000000" w:fill="E7ED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14,8</w:t>
            </w:r>
          </w:p>
        </w:tc>
        <w:tc>
          <w:tcPr>
            <w:tcW w:w="0" w:type="auto"/>
            <w:shd w:val="clear" w:color="000000" w:fill="FBF3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11,1</w:t>
            </w:r>
          </w:p>
        </w:tc>
        <w:tc>
          <w:tcPr>
            <w:tcW w:w="0" w:type="auto"/>
            <w:shd w:val="clear" w:color="000000" w:fill="F9AEB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3,7</w:t>
            </w:r>
          </w:p>
        </w:tc>
        <w:tc>
          <w:tcPr>
            <w:tcW w:w="0" w:type="auto"/>
            <w:shd w:val="clear" w:color="000000" w:fill="F3F6FC"/>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7,4</w:t>
            </w:r>
          </w:p>
        </w:tc>
        <w:tc>
          <w:tcPr>
            <w:tcW w:w="0" w:type="auto"/>
            <w:shd w:val="clear" w:color="000000" w:fill="F0F3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161,4</w:t>
            </w:r>
          </w:p>
        </w:tc>
      </w:tr>
      <w:tr w:rsidR="00A857BE" w:rsidRPr="000E52D5" w:rsidTr="000E52D5">
        <w:trPr>
          <w:trHeight w:val="227"/>
        </w:trPr>
        <w:tc>
          <w:tcPr>
            <w:tcW w:w="0" w:type="auto"/>
            <w:shd w:val="clear" w:color="000000" w:fill="E8EEF8"/>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37</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Follo</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96</w:t>
            </w:r>
          </w:p>
        </w:tc>
        <w:tc>
          <w:tcPr>
            <w:tcW w:w="0" w:type="auto"/>
            <w:shd w:val="clear" w:color="000000" w:fill="F5F7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14,6</w:t>
            </w:r>
          </w:p>
        </w:tc>
        <w:tc>
          <w:tcPr>
            <w:tcW w:w="0" w:type="auto"/>
            <w:shd w:val="clear" w:color="000000" w:fill="DCE6F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7,3</w:t>
            </w:r>
          </w:p>
        </w:tc>
        <w:tc>
          <w:tcPr>
            <w:tcW w:w="0" w:type="auto"/>
            <w:shd w:val="clear" w:color="000000" w:fill="FBF5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2,6</w:t>
            </w:r>
          </w:p>
        </w:tc>
        <w:tc>
          <w:tcPr>
            <w:tcW w:w="0" w:type="auto"/>
            <w:shd w:val="clear" w:color="000000" w:fill="EAEF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5,2</w:t>
            </w:r>
          </w:p>
        </w:tc>
        <w:tc>
          <w:tcPr>
            <w:tcW w:w="0" w:type="auto"/>
            <w:shd w:val="clear" w:color="000000" w:fill="FBFA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8,3</w:t>
            </w:r>
          </w:p>
        </w:tc>
        <w:tc>
          <w:tcPr>
            <w:tcW w:w="0" w:type="auto"/>
            <w:shd w:val="clear" w:color="000000" w:fill="BED1E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6,3</w:t>
            </w:r>
          </w:p>
        </w:tc>
        <w:tc>
          <w:tcPr>
            <w:tcW w:w="0" w:type="auto"/>
            <w:shd w:val="clear" w:color="000000" w:fill="F8FAF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5,2</w:t>
            </w:r>
          </w:p>
        </w:tc>
        <w:tc>
          <w:tcPr>
            <w:tcW w:w="0" w:type="auto"/>
            <w:shd w:val="clear" w:color="000000" w:fill="FBF0F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3,1</w:t>
            </w:r>
          </w:p>
        </w:tc>
        <w:tc>
          <w:tcPr>
            <w:tcW w:w="0" w:type="auto"/>
            <w:shd w:val="clear" w:color="000000" w:fill="EEF2F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13,5</w:t>
            </w:r>
          </w:p>
        </w:tc>
        <w:tc>
          <w:tcPr>
            <w:tcW w:w="0" w:type="auto"/>
            <w:shd w:val="clear" w:color="000000" w:fill="FBEBE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10,4</w:t>
            </w:r>
          </w:p>
        </w:tc>
        <w:tc>
          <w:tcPr>
            <w:tcW w:w="0" w:type="auto"/>
            <w:shd w:val="clear" w:color="000000" w:fill="FAB6B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4,2</w:t>
            </w:r>
          </w:p>
        </w:tc>
        <w:tc>
          <w:tcPr>
            <w:tcW w:w="0" w:type="auto"/>
            <w:shd w:val="clear" w:color="000000" w:fill="FBDAD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5,2</w:t>
            </w:r>
          </w:p>
        </w:tc>
        <w:tc>
          <w:tcPr>
            <w:tcW w:w="0" w:type="auto"/>
            <w:shd w:val="clear" w:color="000000" w:fill="F6F8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154,8</w:t>
            </w:r>
          </w:p>
        </w:tc>
      </w:tr>
      <w:tr w:rsidR="00A857BE" w:rsidRPr="000E52D5" w:rsidTr="000E52D5">
        <w:trPr>
          <w:trHeight w:val="227"/>
        </w:trPr>
        <w:tc>
          <w:tcPr>
            <w:tcW w:w="0" w:type="auto"/>
            <w:shd w:val="clear" w:color="000000" w:fill="F4F6FC"/>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40</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Grenland</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102</w:t>
            </w:r>
          </w:p>
        </w:tc>
        <w:tc>
          <w:tcPr>
            <w:tcW w:w="0" w:type="auto"/>
            <w:shd w:val="clear" w:color="000000" w:fill="F4F6FC"/>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14,7</w:t>
            </w:r>
          </w:p>
        </w:tc>
        <w:tc>
          <w:tcPr>
            <w:tcW w:w="0" w:type="auto"/>
            <w:shd w:val="clear" w:color="000000" w:fill="FBFA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4,9</w:t>
            </w:r>
          </w:p>
        </w:tc>
        <w:tc>
          <w:tcPr>
            <w:tcW w:w="0" w:type="auto"/>
            <w:shd w:val="clear" w:color="000000" w:fill="E6ED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3,9</w:t>
            </w:r>
          </w:p>
        </w:tc>
        <w:tc>
          <w:tcPr>
            <w:tcW w:w="0" w:type="auto"/>
            <w:shd w:val="clear" w:color="000000" w:fill="EEF2F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4,9</w:t>
            </w:r>
          </w:p>
        </w:tc>
        <w:tc>
          <w:tcPr>
            <w:tcW w:w="0" w:type="auto"/>
            <w:shd w:val="clear" w:color="000000" w:fill="E9EF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10,8</w:t>
            </w:r>
          </w:p>
        </w:tc>
        <w:tc>
          <w:tcPr>
            <w:tcW w:w="0" w:type="auto"/>
            <w:shd w:val="clear" w:color="000000" w:fill="FBE3E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2,0</w:t>
            </w:r>
          </w:p>
        </w:tc>
        <w:tc>
          <w:tcPr>
            <w:tcW w:w="0" w:type="auto"/>
            <w:shd w:val="clear" w:color="000000" w:fill="FBDFE1"/>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3,9</w:t>
            </w:r>
          </w:p>
        </w:tc>
        <w:tc>
          <w:tcPr>
            <w:tcW w:w="0" w:type="auto"/>
            <w:shd w:val="clear" w:color="000000" w:fill="FBE8E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2,9</w:t>
            </w:r>
          </w:p>
        </w:tc>
        <w:tc>
          <w:tcPr>
            <w:tcW w:w="0" w:type="auto"/>
            <w:shd w:val="clear" w:color="000000" w:fill="FBEDF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9,8</w:t>
            </w:r>
          </w:p>
        </w:tc>
        <w:tc>
          <w:tcPr>
            <w:tcW w:w="0" w:type="auto"/>
            <w:shd w:val="clear" w:color="000000" w:fill="F5F7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12,7</w:t>
            </w:r>
          </w:p>
        </w:tc>
        <w:tc>
          <w:tcPr>
            <w:tcW w:w="0" w:type="auto"/>
            <w:shd w:val="clear" w:color="000000" w:fill="FBFBF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7,8</w:t>
            </w:r>
          </w:p>
        </w:tc>
        <w:tc>
          <w:tcPr>
            <w:tcW w:w="0" w:type="auto"/>
            <w:shd w:val="clear" w:color="000000" w:fill="E0E9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8,7</w:t>
            </w:r>
          </w:p>
        </w:tc>
        <w:tc>
          <w:tcPr>
            <w:tcW w:w="0" w:type="auto"/>
            <w:shd w:val="clear" w:color="000000" w:fill="F9FAF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151,2</w:t>
            </w:r>
          </w:p>
        </w:tc>
      </w:tr>
      <w:tr w:rsidR="00A857BE" w:rsidRPr="000E52D5" w:rsidTr="000E52D5">
        <w:trPr>
          <w:trHeight w:val="227"/>
        </w:trPr>
        <w:tc>
          <w:tcPr>
            <w:tcW w:w="0" w:type="auto"/>
            <w:shd w:val="clear" w:color="000000" w:fill="F8F9FD"/>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41</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Sandefjord/Larvik</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97</w:t>
            </w:r>
          </w:p>
        </w:tc>
        <w:tc>
          <w:tcPr>
            <w:tcW w:w="0" w:type="auto"/>
            <w:shd w:val="clear" w:color="000000" w:fill="DDE6F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17,5</w:t>
            </w:r>
          </w:p>
        </w:tc>
        <w:tc>
          <w:tcPr>
            <w:tcW w:w="0" w:type="auto"/>
            <w:shd w:val="clear" w:color="000000" w:fill="DDE6F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7,2</w:t>
            </w:r>
          </w:p>
        </w:tc>
        <w:tc>
          <w:tcPr>
            <w:tcW w:w="0" w:type="auto"/>
            <w:shd w:val="clear" w:color="000000" w:fill="FBF7F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2,7</w:t>
            </w:r>
          </w:p>
        </w:tc>
        <w:tc>
          <w:tcPr>
            <w:tcW w:w="0" w:type="auto"/>
            <w:shd w:val="clear" w:color="000000" w:fill="FBE3E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3,1</w:t>
            </w:r>
          </w:p>
        </w:tc>
        <w:tc>
          <w:tcPr>
            <w:tcW w:w="0" w:type="auto"/>
            <w:shd w:val="clear" w:color="000000" w:fill="FAC3C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5,2</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D2DEF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8,2</w:t>
            </w:r>
          </w:p>
        </w:tc>
        <w:tc>
          <w:tcPr>
            <w:tcW w:w="0" w:type="auto"/>
            <w:shd w:val="clear" w:color="000000" w:fill="F6F8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4,1</w:t>
            </w:r>
          </w:p>
        </w:tc>
        <w:tc>
          <w:tcPr>
            <w:tcW w:w="0" w:type="auto"/>
            <w:shd w:val="clear" w:color="000000" w:fill="F4F7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12,4</w:t>
            </w:r>
          </w:p>
        </w:tc>
        <w:tc>
          <w:tcPr>
            <w:tcW w:w="0" w:type="auto"/>
            <w:shd w:val="clear" w:color="000000" w:fill="FBF6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11,3</w:t>
            </w:r>
          </w:p>
        </w:tc>
        <w:tc>
          <w:tcPr>
            <w:tcW w:w="0" w:type="auto"/>
            <w:shd w:val="clear" w:color="000000" w:fill="DFE7F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11,3</w:t>
            </w:r>
          </w:p>
        </w:tc>
        <w:tc>
          <w:tcPr>
            <w:tcW w:w="0" w:type="auto"/>
            <w:shd w:val="clear" w:color="000000" w:fill="FBEFF2"/>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6,2</w:t>
            </w:r>
          </w:p>
        </w:tc>
        <w:tc>
          <w:tcPr>
            <w:tcW w:w="0" w:type="auto"/>
            <w:shd w:val="clear" w:color="000000" w:fill="FCFCF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148,3</w:t>
            </w:r>
          </w:p>
        </w:tc>
      </w:tr>
      <w:tr w:rsidR="00A857BE" w:rsidRPr="000E52D5" w:rsidTr="000E52D5">
        <w:trPr>
          <w:trHeight w:val="227"/>
        </w:trPr>
        <w:tc>
          <w:tcPr>
            <w:tcW w:w="0" w:type="auto"/>
            <w:shd w:val="clear" w:color="000000" w:fill="FCF5F8"/>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44</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Drammensregionen</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131</w:t>
            </w:r>
          </w:p>
        </w:tc>
        <w:tc>
          <w:tcPr>
            <w:tcW w:w="0" w:type="auto"/>
            <w:shd w:val="clear" w:color="000000" w:fill="FCFCF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13,7</w:t>
            </w:r>
          </w:p>
        </w:tc>
        <w:tc>
          <w:tcPr>
            <w:tcW w:w="0" w:type="auto"/>
            <w:shd w:val="clear" w:color="000000" w:fill="FBF0F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4,6</w:t>
            </w:r>
          </w:p>
        </w:tc>
        <w:tc>
          <w:tcPr>
            <w:tcW w:w="0" w:type="auto"/>
            <w:shd w:val="clear" w:color="000000" w:fill="F2F5FC"/>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3,3</w:t>
            </w:r>
          </w:p>
        </w:tc>
        <w:tc>
          <w:tcPr>
            <w:tcW w:w="0" w:type="auto"/>
            <w:shd w:val="clear" w:color="000000" w:fill="E8EE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5,3</w:t>
            </w:r>
          </w:p>
        </w:tc>
        <w:tc>
          <w:tcPr>
            <w:tcW w:w="0" w:type="auto"/>
            <w:shd w:val="clear" w:color="000000" w:fill="FAC6C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5,3</w:t>
            </w:r>
          </w:p>
        </w:tc>
        <w:tc>
          <w:tcPr>
            <w:tcW w:w="0" w:type="auto"/>
            <w:shd w:val="clear" w:color="000000" w:fill="FBF8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2,3</w:t>
            </w:r>
          </w:p>
        </w:tc>
        <w:tc>
          <w:tcPr>
            <w:tcW w:w="0" w:type="auto"/>
            <w:shd w:val="clear" w:color="000000" w:fill="FAC4C7"/>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3,1</w:t>
            </w:r>
          </w:p>
        </w:tc>
        <w:tc>
          <w:tcPr>
            <w:tcW w:w="0" w:type="auto"/>
            <w:shd w:val="clear" w:color="000000" w:fill="F9FAF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3,8</w:t>
            </w:r>
          </w:p>
        </w:tc>
        <w:tc>
          <w:tcPr>
            <w:tcW w:w="0" w:type="auto"/>
            <w:shd w:val="clear" w:color="000000" w:fill="FBF9FC"/>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10,7</w:t>
            </w:r>
          </w:p>
        </w:tc>
        <w:tc>
          <w:tcPr>
            <w:tcW w:w="0" w:type="auto"/>
            <w:shd w:val="clear" w:color="000000" w:fill="F9FAF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12,2</w:t>
            </w:r>
          </w:p>
        </w:tc>
        <w:tc>
          <w:tcPr>
            <w:tcW w:w="0" w:type="auto"/>
            <w:shd w:val="clear" w:color="000000" w:fill="F8F9F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8,4</w:t>
            </w:r>
          </w:p>
        </w:tc>
        <w:tc>
          <w:tcPr>
            <w:tcW w:w="0" w:type="auto"/>
            <w:shd w:val="clear" w:color="000000" w:fill="F1F4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7,6</w:t>
            </w:r>
          </w:p>
        </w:tc>
        <w:tc>
          <w:tcPr>
            <w:tcW w:w="0" w:type="auto"/>
            <w:shd w:val="clear" w:color="000000" w:fill="FBF2F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140,2</w:t>
            </w:r>
          </w:p>
        </w:tc>
      </w:tr>
      <w:tr w:rsidR="00A857BE" w:rsidRPr="000E52D5" w:rsidTr="000E52D5">
        <w:trPr>
          <w:trHeight w:val="227"/>
        </w:trPr>
        <w:tc>
          <w:tcPr>
            <w:tcW w:w="0" w:type="auto"/>
            <w:shd w:val="clear" w:color="000000" w:fill="FCF2F5"/>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45</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Indre Østfold</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47</w:t>
            </w:r>
          </w:p>
        </w:tc>
        <w:tc>
          <w:tcPr>
            <w:tcW w:w="0" w:type="auto"/>
            <w:shd w:val="clear" w:color="000000" w:fill="E1E9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17,0</w:t>
            </w:r>
          </w:p>
        </w:tc>
        <w:tc>
          <w:tcPr>
            <w:tcW w:w="0" w:type="auto"/>
            <w:shd w:val="clear" w:color="000000" w:fill="F9A8A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2,1</w:t>
            </w:r>
          </w:p>
        </w:tc>
        <w:tc>
          <w:tcPr>
            <w:tcW w:w="0" w:type="auto"/>
            <w:shd w:val="clear" w:color="000000" w:fill="F9ABA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w:t>
            </w:r>
          </w:p>
        </w:tc>
        <w:tc>
          <w:tcPr>
            <w:tcW w:w="0" w:type="auto"/>
            <w:shd w:val="clear" w:color="000000" w:fill="FABDC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2,1</w:t>
            </w:r>
          </w:p>
        </w:tc>
        <w:tc>
          <w:tcPr>
            <w:tcW w:w="0" w:type="auto"/>
            <w:shd w:val="clear" w:color="000000" w:fill="FBD8D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6,4</w:t>
            </w:r>
          </w:p>
        </w:tc>
        <w:tc>
          <w:tcPr>
            <w:tcW w:w="0" w:type="auto"/>
            <w:shd w:val="clear" w:color="000000" w:fill="FBEEF1"/>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2,1</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5F7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4,3</w:t>
            </w:r>
          </w:p>
        </w:tc>
        <w:tc>
          <w:tcPr>
            <w:tcW w:w="0" w:type="auto"/>
            <w:shd w:val="clear" w:color="000000" w:fill="DAE5F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17,0</w:t>
            </w:r>
          </w:p>
        </w:tc>
        <w:tc>
          <w:tcPr>
            <w:tcW w:w="0" w:type="auto"/>
            <w:shd w:val="clear" w:color="000000" w:fill="D5E1F2"/>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17,0</w:t>
            </w:r>
          </w:p>
        </w:tc>
        <w:tc>
          <w:tcPr>
            <w:tcW w:w="0" w:type="auto"/>
            <w:shd w:val="clear" w:color="000000" w:fill="E5ECF7"/>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10,6</w:t>
            </w:r>
          </w:p>
        </w:tc>
        <w:tc>
          <w:tcPr>
            <w:tcW w:w="0" w:type="auto"/>
            <w:shd w:val="clear" w:color="000000" w:fill="E4EBF7"/>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8,5</w:t>
            </w:r>
          </w:p>
        </w:tc>
        <w:tc>
          <w:tcPr>
            <w:tcW w:w="0" w:type="auto"/>
            <w:shd w:val="clear" w:color="000000" w:fill="FBF1F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140,1</w:t>
            </w:r>
          </w:p>
        </w:tc>
      </w:tr>
      <w:tr w:rsidR="00A857BE" w:rsidRPr="000E52D5" w:rsidTr="000E52D5">
        <w:trPr>
          <w:trHeight w:val="227"/>
        </w:trPr>
        <w:tc>
          <w:tcPr>
            <w:tcW w:w="0" w:type="auto"/>
            <w:shd w:val="clear" w:color="000000" w:fill="FCEBED"/>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47</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proofErr w:type="spellStart"/>
            <w:r w:rsidRPr="00746D2B">
              <w:rPr>
                <w:rFonts w:ascii="Arial" w:eastAsia="Times New Roman" w:hAnsi="Arial" w:cs="Arial"/>
                <w:color w:val="000000"/>
                <w:sz w:val="18"/>
                <w:szCs w:val="18"/>
                <w:lang w:eastAsia="nb-NO"/>
              </w:rPr>
              <w:t>Mosseregionen</w:t>
            </w:r>
            <w:proofErr w:type="spellEnd"/>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46</w:t>
            </w:r>
          </w:p>
        </w:tc>
        <w:tc>
          <w:tcPr>
            <w:tcW w:w="0" w:type="auto"/>
            <w:shd w:val="clear" w:color="000000" w:fill="FBF5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13,0</w:t>
            </w:r>
          </w:p>
        </w:tc>
        <w:tc>
          <w:tcPr>
            <w:tcW w:w="0" w:type="auto"/>
            <w:shd w:val="clear" w:color="000000" w:fill="E7ED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6,5</w:t>
            </w:r>
          </w:p>
        </w:tc>
        <w:tc>
          <w:tcPr>
            <w:tcW w:w="0" w:type="auto"/>
            <w:shd w:val="clear" w:color="000000" w:fill="FAC1C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w:t>
            </w:r>
          </w:p>
        </w:tc>
        <w:tc>
          <w:tcPr>
            <w:tcW w:w="0" w:type="auto"/>
            <w:shd w:val="clear" w:color="000000" w:fill="D9E4F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6,5</w:t>
            </w:r>
          </w:p>
        </w:tc>
        <w:tc>
          <w:tcPr>
            <w:tcW w:w="0" w:type="auto"/>
            <w:shd w:val="clear" w:color="000000" w:fill="FAB5B7"/>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4,3</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BEBE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4,3</w:t>
            </w:r>
          </w:p>
        </w:tc>
        <w:tc>
          <w:tcPr>
            <w:tcW w:w="0" w:type="auto"/>
            <w:shd w:val="clear" w:color="000000" w:fill="FAC7C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2,2</w:t>
            </w:r>
          </w:p>
        </w:tc>
        <w:tc>
          <w:tcPr>
            <w:tcW w:w="0" w:type="auto"/>
            <w:shd w:val="clear" w:color="000000" w:fill="E4ECF7"/>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15,2</w:t>
            </w:r>
          </w:p>
        </w:tc>
        <w:tc>
          <w:tcPr>
            <w:tcW w:w="0" w:type="auto"/>
            <w:shd w:val="clear" w:color="000000" w:fill="FAD5D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8,7</w:t>
            </w:r>
          </w:p>
        </w:tc>
        <w:tc>
          <w:tcPr>
            <w:tcW w:w="0" w:type="auto"/>
            <w:shd w:val="clear" w:color="000000" w:fill="FBE2E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6,5</w:t>
            </w:r>
          </w:p>
        </w:tc>
        <w:tc>
          <w:tcPr>
            <w:tcW w:w="0" w:type="auto"/>
            <w:shd w:val="clear" w:color="000000" w:fill="FBF6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6,5</w:t>
            </w:r>
          </w:p>
        </w:tc>
        <w:tc>
          <w:tcPr>
            <w:tcW w:w="0" w:type="auto"/>
            <w:shd w:val="clear" w:color="000000" w:fill="FBEDF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137,0</w:t>
            </w:r>
          </w:p>
        </w:tc>
      </w:tr>
      <w:tr w:rsidR="00A857BE" w:rsidRPr="000E52D5" w:rsidTr="000E52D5">
        <w:trPr>
          <w:trHeight w:val="227"/>
        </w:trPr>
        <w:tc>
          <w:tcPr>
            <w:tcW w:w="0" w:type="auto"/>
            <w:shd w:val="clear" w:color="000000" w:fill="FCE3E6"/>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49</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Hamarregionen</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71</w:t>
            </w:r>
          </w:p>
        </w:tc>
        <w:tc>
          <w:tcPr>
            <w:tcW w:w="0" w:type="auto"/>
            <w:shd w:val="clear" w:color="000000" w:fill="FAD3D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9,9</w:t>
            </w:r>
          </w:p>
        </w:tc>
        <w:tc>
          <w:tcPr>
            <w:tcW w:w="0" w:type="auto"/>
            <w:shd w:val="clear" w:color="000000" w:fill="E0E8F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7,0</w:t>
            </w:r>
          </w:p>
        </w:tc>
        <w:tc>
          <w:tcPr>
            <w:tcW w:w="0" w:type="auto"/>
            <w:shd w:val="clear" w:color="000000" w:fill="F6F8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3,1</w:t>
            </w:r>
          </w:p>
        </w:tc>
        <w:tc>
          <w:tcPr>
            <w:tcW w:w="0" w:type="auto"/>
            <w:shd w:val="clear" w:color="000000" w:fill="F9A0A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w:t>
            </w:r>
          </w:p>
        </w:tc>
        <w:tc>
          <w:tcPr>
            <w:tcW w:w="0" w:type="auto"/>
            <w:shd w:val="clear" w:color="000000" w:fill="FCFCF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8,5</w:t>
            </w:r>
          </w:p>
        </w:tc>
        <w:tc>
          <w:tcPr>
            <w:tcW w:w="0" w:type="auto"/>
            <w:shd w:val="clear" w:color="000000" w:fill="FAC1C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w:t>
            </w:r>
          </w:p>
        </w:tc>
        <w:tc>
          <w:tcPr>
            <w:tcW w:w="0" w:type="auto"/>
            <w:shd w:val="clear" w:color="000000" w:fill="F3F6FC"/>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5,6</w:t>
            </w:r>
          </w:p>
        </w:tc>
        <w:tc>
          <w:tcPr>
            <w:tcW w:w="0" w:type="auto"/>
            <w:shd w:val="clear" w:color="000000" w:fill="F5F7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4,2</w:t>
            </w:r>
          </w:p>
        </w:tc>
        <w:tc>
          <w:tcPr>
            <w:tcW w:w="0" w:type="auto"/>
            <w:shd w:val="clear" w:color="000000" w:fill="EBF0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14,1</w:t>
            </w:r>
          </w:p>
        </w:tc>
        <w:tc>
          <w:tcPr>
            <w:tcW w:w="0" w:type="auto"/>
            <w:shd w:val="clear" w:color="000000" w:fill="FBF5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11,3</w:t>
            </w:r>
          </w:p>
        </w:tc>
        <w:tc>
          <w:tcPr>
            <w:tcW w:w="0" w:type="auto"/>
            <w:shd w:val="clear" w:color="000000" w:fill="FBECE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7,0</w:t>
            </w:r>
          </w:p>
        </w:tc>
        <w:tc>
          <w:tcPr>
            <w:tcW w:w="0" w:type="auto"/>
            <w:shd w:val="clear" w:color="000000" w:fill="E6ED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8,3</w:t>
            </w:r>
          </w:p>
        </w:tc>
        <w:tc>
          <w:tcPr>
            <w:tcW w:w="0" w:type="auto"/>
            <w:shd w:val="clear" w:color="000000" w:fill="FBEBE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135,6</w:t>
            </w:r>
          </w:p>
        </w:tc>
      </w:tr>
      <w:tr w:rsidR="00A857BE" w:rsidRPr="000E52D5" w:rsidTr="000E52D5">
        <w:trPr>
          <w:trHeight w:val="227"/>
        </w:trPr>
        <w:tc>
          <w:tcPr>
            <w:tcW w:w="0" w:type="auto"/>
            <w:shd w:val="clear" w:color="000000" w:fill="FCE0E3"/>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50</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Halden</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24</w:t>
            </w:r>
          </w:p>
        </w:tc>
        <w:tc>
          <w:tcPr>
            <w:tcW w:w="0" w:type="auto"/>
            <w:shd w:val="clear" w:color="000000" w:fill="F9959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4,2</w:t>
            </w:r>
          </w:p>
        </w:tc>
        <w:tc>
          <w:tcPr>
            <w:tcW w:w="0" w:type="auto"/>
            <w:shd w:val="clear" w:color="000000" w:fill="CEDCE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8,3</w:t>
            </w:r>
          </w:p>
        </w:tc>
        <w:tc>
          <w:tcPr>
            <w:tcW w:w="0" w:type="auto"/>
            <w:shd w:val="clear" w:color="000000" w:fill="FAD5D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BFA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8,3</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D1DEF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8,3</w:t>
            </w:r>
          </w:p>
        </w:tc>
        <w:tc>
          <w:tcPr>
            <w:tcW w:w="0" w:type="auto"/>
            <w:shd w:val="clear" w:color="000000" w:fill="ABC3E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12,5</w:t>
            </w:r>
          </w:p>
        </w:tc>
        <w:tc>
          <w:tcPr>
            <w:tcW w:w="0" w:type="auto"/>
            <w:shd w:val="clear" w:color="000000" w:fill="FBD9DC"/>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8,3</w:t>
            </w:r>
          </w:p>
        </w:tc>
        <w:tc>
          <w:tcPr>
            <w:tcW w:w="0" w:type="auto"/>
            <w:shd w:val="clear" w:color="000000" w:fill="D8E3F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16,7</w:t>
            </w:r>
          </w:p>
        </w:tc>
        <w:tc>
          <w:tcPr>
            <w:tcW w:w="0" w:type="auto"/>
            <w:shd w:val="clear" w:color="000000" w:fill="FAB6B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4,2</w:t>
            </w:r>
          </w:p>
        </w:tc>
        <w:tc>
          <w:tcPr>
            <w:tcW w:w="0" w:type="auto"/>
            <w:shd w:val="clear" w:color="000000" w:fill="FAC3C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4,2</w:t>
            </w:r>
          </w:p>
        </w:tc>
        <w:tc>
          <w:tcPr>
            <w:tcW w:w="0" w:type="auto"/>
            <w:shd w:val="clear" w:color="000000" w:fill="FBE8E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133,2</w:t>
            </w:r>
          </w:p>
        </w:tc>
      </w:tr>
      <w:tr w:rsidR="00A857BE" w:rsidRPr="000E52D5" w:rsidTr="000E52D5">
        <w:trPr>
          <w:trHeight w:val="227"/>
        </w:trPr>
        <w:tc>
          <w:tcPr>
            <w:tcW w:w="0" w:type="auto"/>
            <w:shd w:val="clear" w:color="000000" w:fill="FBD5D8"/>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53</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Nedre Glomma</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125</w:t>
            </w:r>
          </w:p>
        </w:tc>
        <w:tc>
          <w:tcPr>
            <w:tcW w:w="0" w:type="auto"/>
            <w:shd w:val="clear" w:color="000000" w:fill="FBFBF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13,6</w:t>
            </w:r>
          </w:p>
        </w:tc>
        <w:tc>
          <w:tcPr>
            <w:tcW w:w="0" w:type="auto"/>
            <w:shd w:val="clear" w:color="000000" w:fill="F9989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1,6</w:t>
            </w:r>
          </w:p>
        </w:tc>
        <w:tc>
          <w:tcPr>
            <w:tcW w:w="0" w:type="auto"/>
            <w:shd w:val="clear" w:color="000000" w:fill="DCE5F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4,4</w:t>
            </w:r>
          </w:p>
        </w:tc>
        <w:tc>
          <w:tcPr>
            <w:tcW w:w="0" w:type="auto"/>
            <w:shd w:val="clear" w:color="000000" w:fill="EFF3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4,8</w:t>
            </w:r>
          </w:p>
        </w:tc>
        <w:tc>
          <w:tcPr>
            <w:tcW w:w="0" w:type="auto"/>
            <w:shd w:val="clear" w:color="000000" w:fill="FBE7E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7,2</w:t>
            </w:r>
          </w:p>
        </w:tc>
        <w:tc>
          <w:tcPr>
            <w:tcW w:w="0" w:type="auto"/>
            <w:shd w:val="clear" w:color="000000" w:fill="FCFCF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2,4</w:t>
            </w:r>
          </w:p>
        </w:tc>
        <w:tc>
          <w:tcPr>
            <w:tcW w:w="0" w:type="auto"/>
            <w:shd w:val="clear" w:color="000000" w:fill="FBE1E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BDFE2"/>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8,8</w:t>
            </w:r>
          </w:p>
        </w:tc>
        <w:tc>
          <w:tcPr>
            <w:tcW w:w="0" w:type="auto"/>
            <w:shd w:val="clear" w:color="000000" w:fill="E9EF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14,4</w:t>
            </w:r>
          </w:p>
        </w:tc>
        <w:tc>
          <w:tcPr>
            <w:tcW w:w="0" w:type="auto"/>
            <w:shd w:val="clear" w:color="000000" w:fill="FBFCF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8,0</w:t>
            </w:r>
          </w:p>
        </w:tc>
        <w:tc>
          <w:tcPr>
            <w:tcW w:w="0" w:type="auto"/>
            <w:shd w:val="clear" w:color="000000" w:fill="FBF3F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6,3</w:t>
            </w:r>
          </w:p>
        </w:tc>
        <w:tc>
          <w:tcPr>
            <w:tcW w:w="0" w:type="auto"/>
            <w:shd w:val="clear" w:color="000000" w:fill="FBE0E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127,1</w:t>
            </w:r>
          </w:p>
        </w:tc>
      </w:tr>
      <w:tr w:rsidR="00A857BE" w:rsidRPr="000E52D5" w:rsidTr="000E52D5">
        <w:trPr>
          <w:trHeight w:val="227"/>
        </w:trPr>
        <w:tc>
          <w:tcPr>
            <w:tcW w:w="0" w:type="auto"/>
            <w:shd w:val="clear" w:color="000000" w:fill="FBCACD"/>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56</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Øvre Romerike</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50</w:t>
            </w:r>
          </w:p>
        </w:tc>
        <w:tc>
          <w:tcPr>
            <w:tcW w:w="0" w:type="auto"/>
            <w:shd w:val="clear" w:color="000000" w:fill="E9EF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16,0</w:t>
            </w:r>
          </w:p>
        </w:tc>
        <w:tc>
          <w:tcPr>
            <w:tcW w:w="0" w:type="auto"/>
            <w:shd w:val="clear" w:color="000000" w:fill="EEF2F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6,0</w:t>
            </w:r>
          </w:p>
        </w:tc>
        <w:tc>
          <w:tcPr>
            <w:tcW w:w="0" w:type="auto"/>
            <w:shd w:val="clear" w:color="000000" w:fill="F9939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0,8</w:t>
            </w:r>
          </w:p>
        </w:tc>
        <w:tc>
          <w:tcPr>
            <w:tcW w:w="0" w:type="auto"/>
            <w:shd w:val="clear" w:color="000000" w:fill="E0E8F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BE1E4"/>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4,0</w:t>
            </w:r>
          </w:p>
        </w:tc>
        <w:tc>
          <w:tcPr>
            <w:tcW w:w="0" w:type="auto"/>
            <w:shd w:val="clear" w:color="000000" w:fill="FABFC2"/>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2,0</w:t>
            </w:r>
          </w:p>
        </w:tc>
        <w:tc>
          <w:tcPr>
            <w:tcW w:w="0" w:type="auto"/>
            <w:shd w:val="clear" w:color="000000" w:fill="FAD4D7"/>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8,0</w:t>
            </w:r>
          </w:p>
        </w:tc>
        <w:tc>
          <w:tcPr>
            <w:tcW w:w="0" w:type="auto"/>
            <w:shd w:val="clear" w:color="000000" w:fill="FBE5E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10,0</w:t>
            </w:r>
          </w:p>
        </w:tc>
        <w:tc>
          <w:tcPr>
            <w:tcW w:w="0" w:type="auto"/>
            <w:shd w:val="clear" w:color="000000" w:fill="F98E9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2,0</w:t>
            </w:r>
          </w:p>
        </w:tc>
        <w:tc>
          <w:tcPr>
            <w:tcW w:w="0" w:type="auto"/>
            <w:shd w:val="clear" w:color="000000" w:fill="EBF0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8,0</w:t>
            </w:r>
          </w:p>
        </w:tc>
        <w:tc>
          <w:tcPr>
            <w:tcW w:w="0" w:type="auto"/>
            <w:shd w:val="clear" w:color="000000" w:fill="FACCC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112,2</w:t>
            </w:r>
          </w:p>
        </w:tc>
      </w:tr>
      <w:tr w:rsidR="00A857BE" w:rsidRPr="000E52D5" w:rsidTr="000E52D5">
        <w:trPr>
          <w:trHeight w:val="227"/>
        </w:trPr>
        <w:tc>
          <w:tcPr>
            <w:tcW w:w="0" w:type="auto"/>
            <w:shd w:val="clear" w:color="000000" w:fill="FBC3C6"/>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58</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proofErr w:type="spellStart"/>
            <w:r w:rsidRPr="00746D2B">
              <w:rPr>
                <w:rFonts w:ascii="Arial" w:eastAsia="Times New Roman" w:hAnsi="Arial" w:cs="Arial"/>
                <w:color w:val="000000"/>
                <w:sz w:val="18"/>
                <w:szCs w:val="18"/>
                <w:lang w:eastAsia="nb-NO"/>
              </w:rPr>
              <w:t>Nord-Gudbrandsdal</w:t>
            </w:r>
            <w:proofErr w:type="spellEnd"/>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15</w:t>
            </w:r>
          </w:p>
        </w:tc>
        <w:tc>
          <w:tcPr>
            <w:tcW w:w="0" w:type="auto"/>
            <w:shd w:val="clear" w:color="000000" w:fill="FBF8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13,3</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9FBBD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E6ED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shd w:val="clear" w:color="000000" w:fill="DFE8F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1F4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13,3</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BFA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shd w:val="clear" w:color="000000" w:fill="FACACC"/>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110,0</w:t>
            </w:r>
          </w:p>
        </w:tc>
      </w:tr>
      <w:tr w:rsidR="00A857BE" w:rsidRPr="000E52D5" w:rsidTr="000E52D5">
        <w:trPr>
          <w:trHeight w:val="227"/>
        </w:trPr>
        <w:tc>
          <w:tcPr>
            <w:tcW w:w="0" w:type="auto"/>
            <w:shd w:val="clear" w:color="000000" w:fill="FAB1B4"/>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63</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Hallingdal</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15</w:t>
            </w:r>
          </w:p>
        </w:tc>
        <w:tc>
          <w:tcPr>
            <w:tcW w:w="0" w:type="auto"/>
            <w:shd w:val="clear" w:color="000000" w:fill="F9B0B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shd w:val="clear" w:color="000000" w:fill="E5ECF7"/>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EFF3F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13,3</w:t>
            </w:r>
          </w:p>
        </w:tc>
        <w:tc>
          <w:tcPr>
            <w:tcW w:w="0" w:type="auto"/>
            <w:shd w:val="clear" w:color="000000" w:fill="8DAED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26,7</w:t>
            </w:r>
          </w:p>
        </w:tc>
        <w:tc>
          <w:tcPr>
            <w:tcW w:w="0" w:type="auto"/>
            <w:shd w:val="clear" w:color="000000" w:fill="94B3D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20,0</w:t>
            </w:r>
          </w:p>
        </w:tc>
        <w:tc>
          <w:tcPr>
            <w:tcW w:w="0" w:type="auto"/>
            <w:shd w:val="clear" w:color="000000" w:fill="9FBBD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13,3</w:t>
            </w:r>
          </w:p>
        </w:tc>
        <w:tc>
          <w:tcPr>
            <w:tcW w:w="0" w:type="auto"/>
            <w:shd w:val="clear" w:color="000000" w:fill="FAB8BA"/>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96,7</w:t>
            </w:r>
          </w:p>
        </w:tc>
      </w:tr>
      <w:tr w:rsidR="00A857BE" w:rsidRPr="000E52D5" w:rsidTr="000E52D5">
        <w:trPr>
          <w:trHeight w:val="227"/>
        </w:trPr>
        <w:tc>
          <w:tcPr>
            <w:tcW w:w="0" w:type="auto"/>
            <w:shd w:val="clear" w:color="000000" w:fill="FA9FA2"/>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68</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proofErr w:type="spellStart"/>
            <w:r w:rsidRPr="00746D2B">
              <w:rPr>
                <w:rFonts w:ascii="Arial" w:eastAsia="Times New Roman" w:hAnsi="Arial" w:cs="Arial"/>
                <w:color w:val="000000"/>
                <w:sz w:val="18"/>
                <w:szCs w:val="18"/>
                <w:lang w:eastAsia="nb-NO"/>
              </w:rPr>
              <w:t>Midt-Gudbrandsdal</w:t>
            </w:r>
            <w:proofErr w:type="spellEnd"/>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15</w:t>
            </w:r>
          </w:p>
        </w:tc>
        <w:tc>
          <w:tcPr>
            <w:tcW w:w="0" w:type="auto"/>
            <w:shd w:val="clear" w:color="000000" w:fill="F9B0B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shd w:val="clear" w:color="000000" w:fill="89ABD7"/>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13,3</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BDDE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E6ED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AC2C5"/>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shd w:val="clear" w:color="000000" w:fill="FABCB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BFAF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shd w:val="clear" w:color="000000" w:fill="F9A6A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83,3</w:t>
            </w:r>
          </w:p>
        </w:tc>
      </w:tr>
      <w:tr w:rsidR="00A857BE" w:rsidRPr="000E52D5" w:rsidTr="00A857BE">
        <w:trPr>
          <w:trHeight w:val="227"/>
        </w:trPr>
        <w:tc>
          <w:tcPr>
            <w:tcW w:w="0" w:type="auto"/>
            <w:tcBorders>
              <w:bottom w:val="single" w:sz="4" w:space="0" w:color="auto"/>
            </w:tcBorders>
            <w:shd w:val="clear" w:color="000000" w:fill="F98D90"/>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73</w:t>
            </w:r>
          </w:p>
        </w:tc>
        <w:tc>
          <w:tcPr>
            <w:tcW w:w="0" w:type="auto"/>
            <w:tcBorders>
              <w:bottom w:val="single" w:sz="4" w:space="0" w:color="auto"/>
            </w:tcBorders>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Hadeland</w:t>
            </w:r>
          </w:p>
        </w:tc>
        <w:tc>
          <w:tcPr>
            <w:tcW w:w="0" w:type="auto"/>
            <w:tcBorders>
              <w:bottom w:val="single" w:sz="4" w:space="0" w:color="auto"/>
            </w:tcBorders>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18</w:t>
            </w:r>
          </w:p>
        </w:tc>
        <w:tc>
          <w:tcPr>
            <w:tcW w:w="0" w:type="auto"/>
            <w:tcBorders>
              <w:bottom w:val="single" w:sz="4" w:space="0" w:color="auto"/>
            </w:tcBorders>
            <w:shd w:val="clear" w:color="000000" w:fill="FBE0E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11,1</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5A8AC6"/>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10,7</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9AEB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5,6</w:t>
            </w:r>
          </w:p>
        </w:tc>
        <w:tc>
          <w:tcPr>
            <w:tcW w:w="0" w:type="auto"/>
            <w:tcBorders>
              <w:bottom w:val="single" w:sz="4" w:space="0" w:color="auto"/>
            </w:tcBorders>
            <w:shd w:val="clear" w:color="000000" w:fill="FAD0D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5,6</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9999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73,4</w:t>
            </w:r>
          </w:p>
        </w:tc>
      </w:tr>
      <w:tr w:rsidR="00A857BE" w:rsidRPr="00A857BE" w:rsidTr="00A857BE">
        <w:trPr>
          <w:trHeight w:val="227"/>
        </w:trPr>
        <w:tc>
          <w:tcPr>
            <w:tcW w:w="0" w:type="auto"/>
            <w:tcBorders>
              <w:top w:val="single" w:sz="4" w:space="0" w:color="auto"/>
              <w:bottom w:val="single" w:sz="4" w:space="0" w:color="auto"/>
            </w:tcBorders>
            <w:shd w:val="clear" w:color="000000" w:fill="F97F81"/>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77</w:t>
            </w:r>
          </w:p>
        </w:tc>
        <w:tc>
          <w:tcPr>
            <w:tcW w:w="0" w:type="auto"/>
            <w:tcBorders>
              <w:top w:val="single" w:sz="4" w:space="0" w:color="auto"/>
              <w:bottom w:val="single" w:sz="4" w:space="0" w:color="auto"/>
            </w:tcBorders>
            <w:shd w:val="clear" w:color="auto" w:fill="auto"/>
            <w:noWrap/>
            <w:vAlign w:val="bottom"/>
            <w:hideMark/>
          </w:tcPr>
          <w:p w:rsidR="00A857BE" w:rsidRPr="00746D2B" w:rsidRDefault="00A857BE" w:rsidP="00746D2B">
            <w:pPr>
              <w:spacing w:after="0" w:line="240" w:lineRule="auto"/>
              <w:rPr>
                <w:rFonts w:ascii="Arial" w:eastAsia="Times New Roman" w:hAnsi="Arial" w:cs="Arial"/>
                <w:b/>
                <w:color w:val="000000"/>
                <w:sz w:val="18"/>
                <w:szCs w:val="18"/>
                <w:lang w:eastAsia="nb-NO"/>
              </w:rPr>
            </w:pPr>
            <w:proofErr w:type="spellStart"/>
            <w:r w:rsidRPr="00746D2B">
              <w:rPr>
                <w:rFonts w:ascii="Arial" w:eastAsia="Times New Roman" w:hAnsi="Arial" w:cs="Arial"/>
                <w:b/>
                <w:color w:val="C00000"/>
                <w:sz w:val="18"/>
                <w:szCs w:val="18"/>
                <w:lang w:eastAsia="nb-NO"/>
              </w:rPr>
              <w:t>Glåmdal</w:t>
            </w:r>
            <w:proofErr w:type="spellEnd"/>
          </w:p>
        </w:tc>
        <w:tc>
          <w:tcPr>
            <w:tcW w:w="0" w:type="auto"/>
            <w:tcBorders>
              <w:top w:val="single" w:sz="4" w:space="0" w:color="auto"/>
              <w:bottom w:val="single" w:sz="4" w:space="0" w:color="auto"/>
            </w:tcBorders>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36</w:t>
            </w:r>
          </w:p>
        </w:tc>
        <w:tc>
          <w:tcPr>
            <w:tcW w:w="0" w:type="auto"/>
            <w:tcBorders>
              <w:top w:val="single" w:sz="4" w:space="0" w:color="auto"/>
              <w:bottom w:val="single" w:sz="4" w:space="0" w:color="auto"/>
            </w:tcBorders>
            <w:shd w:val="clear" w:color="000000" w:fill="F9A4A7"/>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5,6</w:t>
            </w:r>
          </w:p>
        </w:tc>
        <w:tc>
          <w:tcPr>
            <w:tcW w:w="0" w:type="auto"/>
            <w:tcBorders>
              <w:top w:val="single" w:sz="4" w:space="0" w:color="auto"/>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0,0</w:t>
            </w:r>
          </w:p>
        </w:tc>
        <w:tc>
          <w:tcPr>
            <w:tcW w:w="0" w:type="auto"/>
            <w:tcBorders>
              <w:top w:val="single" w:sz="4" w:space="0" w:color="auto"/>
              <w:bottom w:val="single" w:sz="4" w:space="0" w:color="auto"/>
            </w:tcBorders>
            <w:shd w:val="clear" w:color="000000" w:fill="E7EEF8"/>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3,8</w:t>
            </w:r>
          </w:p>
        </w:tc>
        <w:tc>
          <w:tcPr>
            <w:tcW w:w="0" w:type="auto"/>
            <w:tcBorders>
              <w:top w:val="single" w:sz="4" w:space="0" w:color="auto"/>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0,0</w:t>
            </w:r>
          </w:p>
        </w:tc>
        <w:tc>
          <w:tcPr>
            <w:tcW w:w="0" w:type="auto"/>
            <w:tcBorders>
              <w:top w:val="single" w:sz="4" w:space="0" w:color="auto"/>
              <w:bottom w:val="single" w:sz="4" w:space="0" w:color="auto"/>
            </w:tcBorders>
            <w:shd w:val="clear" w:color="000000" w:fill="F9999B"/>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2,8</w:t>
            </w:r>
          </w:p>
        </w:tc>
        <w:tc>
          <w:tcPr>
            <w:tcW w:w="0" w:type="auto"/>
            <w:tcBorders>
              <w:top w:val="single" w:sz="4" w:space="0" w:color="auto"/>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0,0</w:t>
            </w:r>
          </w:p>
        </w:tc>
        <w:tc>
          <w:tcPr>
            <w:tcW w:w="0" w:type="auto"/>
            <w:tcBorders>
              <w:top w:val="single" w:sz="4" w:space="0" w:color="auto"/>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0,0</w:t>
            </w:r>
          </w:p>
        </w:tc>
        <w:tc>
          <w:tcPr>
            <w:tcW w:w="0" w:type="auto"/>
            <w:tcBorders>
              <w:top w:val="single" w:sz="4" w:space="0" w:color="auto"/>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0,0</w:t>
            </w:r>
          </w:p>
        </w:tc>
        <w:tc>
          <w:tcPr>
            <w:tcW w:w="0" w:type="auto"/>
            <w:tcBorders>
              <w:top w:val="single" w:sz="4" w:space="0" w:color="auto"/>
              <w:bottom w:val="single" w:sz="4" w:space="0" w:color="auto"/>
            </w:tcBorders>
            <w:shd w:val="clear" w:color="000000" w:fill="FBD9DC"/>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8,3</w:t>
            </w:r>
          </w:p>
        </w:tc>
        <w:tc>
          <w:tcPr>
            <w:tcW w:w="0" w:type="auto"/>
            <w:tcBorders>
              <w:top w:val="single" w:sz="4" w:space="0" w:color="auto"/>
              <w:bottom w:val="single" w:sz="4" w:space="0" w:color="auto"/>
            </w:tcBorders>
            <w:shd w:val="clear" w:color="000000" w:fill="FAD1D3"/>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8,3</w:t>
            </w:r>
          </w:p>
        </w:tc>
        <w:tc>
          <w:tcPr>
            <w:tcW w:w="0" w:type="auto"/>
            <w:tcBorders>
              <w:top w:val="single" w:sz="4" w:space="0" w:color="auto"/>
              <w:bottom w:val="single" w:sz="4" w:space="0" w:color="auto"/>
            </w:tcBorders>
            <w:shd w:val="clear" w:color="000000" w:fill="FAD0D3"/>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5,6</w:t>
            </w:r>
          </w:p>
        </w:tc>
        <w:tc>
          <w:tcPr>
            <w:tcW w:w="0" w:type="auto"/>
            <w:tcBorders>
              <w:top w:val="single" w:sz="4" w:space="0" w:color="auto"/>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0,0</w:t>
            </w:r>
          </w:p>
        </w:tc>
        <w:tc>
          <w:tcPr>
            <w:tcW w:w="0" w:type="auto"/>
            <w:tcBorders>
              <w:top w:val="single" w:sz="4" w:space="0" w:color="auto"/>
              <w:bottom w:val="single" w:sz="4" w:space="0" w:color="auto"/>
            </w:tcBorders>
            <w:shd w:val="clear" w:color="000000" w:fill="F88789"/>
            <w:noWrap/>
            <w:vAlign w:val="bottom"/>
            <w:hideMark/>
          </w:tcPr>
          <w:p w:rsidR="00A857BE" w:rsidRPr="00746D2B" w:rsidRDefault="00A857BE" w:rsidP="00746D2B">
            <w:pPr>
              <w:spacing w:after="0" w:line="240" w:lineRule="auto"/>
              <w:jc w:val="right"/>
              <w:rPr>
                <w:rFonts w:ascii="Arial" w:eastAsia="Times New Roman" w:hAnsi="Arial" w:cs="Arial"/>
                <w:b/>
                <w:color w:val="000000"/>
                <w:sz w:val="18"/>
                <w:szCs w:val="18"/>
                <w:lang w:eastAsia="nb-NO"/>
              </w:rPr>
            </w:pPr>
            <w:r w:rsidRPr="00746D2B">
              <w:rPr>
                <w:rFonts w:ascii="Arial" w:eastAsia="Times New Roman" w:hAnsi="Arial" w:cs="Arial"/>
                <w:b/>
                <w:color w:val="000000"/>
                <w:sz w:val="18"/>
                <w:szCs w:val="18"/>
                <w:lang w:eastAsia="nb-NO"/>
              </w:rPr>
              <w:t>59,6</w:t>
            </w:r>
          </w:p>
        </w:tc>
      </w:tr>
      <w:tr w:rsidR="00A857BE" w:rsidRPr="000E52D5" w:rsidTr="00A857BE">
        <w:trPr>
          <w:trHeight w:val="227"/>
        </w:trPr>
        <w:tc>
          <w:tcPr>
            <w:tcW w:w="0" w:type="auto"/>
            <w:tcBorders>
              <w:top w:val="single" w:sz="4" w:space="0" w:color="auto"/>
            </w:tcBorders>
            <w:shd w:val="clear" w:color="000000" w:fill="F9787A"/>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79</w:t>
            </w:r>
          </w:p>
        </w:tc>
        <w:tc>
          <w:tcPr>
            <w:tcW w:w="0" w:type="auto"/>
            <w:tcBorders>
              <w:top w:val="single" w:sz="4" w:space="0" w:color="auto"/>
            </w:tcBorders>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Valdres</w:t>
            </w:r>
          </w:p>
        </w:tc>
        <w:tc>
          <w:tcPr>
            <w:tcW w:w="0" w:type="auto"/>
            <w:tcBorders>
              <w:top w:val="single" w:sz="4" w:space="0" w:color="auto"/>
            </w:tcBorders>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17</w:t>
            </w:r>
          </w:p>
        </w:tc>
        <w:tc>
          <w:tcPr>
            <w:tcW w:w="0" w:type="auto"/>
            <w:tcBorders>
              <w:top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top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top w:val="single" w:sz="4" w:space="0" w:color="auto"/>
            </w:tcBorders>
            <w:shd w:val="clear" w:color="000000" w:fill="E6EDF8"/>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3,8</w:t>
            </w:r>
          </w:p>
        </w:tc>
        <w:tc>
          <w:tcPr>
            <w:tcW w:w="0" w:type="auto"/>
            <w:tcBorders>
              <w:top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top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top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top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top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top w:val="single" w:sz="4" w:space="0" w:color="auto"/>
            </w:tcBorders>
            <w:shd w:val="clear" w:color="000000" w:fill="F8F9F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11,8</w:t>
            </w:r>
          </w:p>
        </w:tc>
        <w:tc>
          <w:tcPr>
            <w:tcW w:w="0" w:type="auto"/>
            <w:tcBorders>
              <w:top w:val="single" w:sz="4" w:space="0" w:color="auto"/>
            </w:tcBorders>
            <w:shd w:val="clear" w:color="000000" w:fill="FCFCF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11,8</w:t>
            </w:r>
          </w:p>
        </w:tc>
        <w:tc>
          <w:tcPr>
            <w:tcW w:w="0" w:type="auto"/>
            <w:tcBorders>
              <w:top w:val="single" w:sz="4" w:space="0" w:color="auto"/>
            </w:tcBorders>
            <w:shd w:val="clear" w:color="000000" w:fill="FAD6D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5,9</w:t>
            </w:r>
          </w:p>
        </w:tc>
        <w:tc>
          <w:tcPr>
            <w:tcW w:w="0" w:type="auto"/>
            <w:tcBorders>
              <w:top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top w:val="single" w:sz="4" w:space="0" w:color="auto"/>
            </w:tcBorders>
            <w:shd w:val="clear" w:color="000000" w:fill="F87F81"/>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53,6</w:t>
            </w:r>
          </w:p>
        </w:tc>
      </w:tr>
      <w:tr w:rsidR="00A857BE" w:rsidRPr="000E52D5" w:rsidTr="000E52D5">
        <w:trPr>
          <w:trHeight w:val="227"/>
        </w:trPr>
        <w:tc>
          <w:tcPr>
            <w:tcW w:w="0" w:type="auto"/>
            <w:shd w:val="clear" w:color="000000" w:fill="F97476"/>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80</w:t>
            </w:r>
          </w:p>
        </w:tc>
        <w:tc>
          <w:tcPr>
            <w:tcW w:w="0" w:type="auto"/>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Øst-Telemark</w:t>
            </w:r>
          </w:p>
        </w:tc>
        <w:tc>
          <w:tcPr>
            <w:tcW w:w="0" w:type="auto"/>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19</w:t>
            </w:r>
          </w:p>
        </w:tc>
        <w:tc>
          <w:tcPr>
            <w:tcW w:w="0" w:type="auto"/>
            <w:shd w:val="clear" w:color="000000" w:fill="F9A1A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5,3</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E9EFF9"/>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5,3</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F9AFB2"/>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5,3</w:t>
            </w:r>
          </w:p>
        </w:tc>
        <w:tc>
          <w:tcPr>
            <w:tcW w:w="0" w:type="auto"/>
            <w:shd w:val="clear" w:color="000000" w:fill="F9AAA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5,3</w:t>
            </w:r>
          </w:p>
        </w:tc>
        <w:tc>
          <w:tcPr>
            <w:tcW w:w="0" w:type="auto"/>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shd w:val="clear" w:color="000000" w:fill="C7D7ED"/>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10,5</w:t>
            </w:r>
          </w:p>
        </w:tc>
        <w:tc>
          <w:tcPr>
            <w:tcW w:w="0" w:type="auto"/>
            <w:shd w:val="clear" w:color="000000" w:fill="F87E8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52,6</w:t>
            </w:r>
          </w:p>
        </w:tc>
      </w:tr>
      <w:tr w:rsidR="00A857BE" w:rsidRPr="000E52D5" w:rsidTr="00A857BE">
        <w:trPr>
          <w:trHeight w:val="227"/>
        </w:trPr>
        <w:tc>
          <w:tcPr>
            <w:tcW w:w="0" w:type="auto"/>
            <w:tcBorders>
              <w:bottom w:val="single" w:sz="4" w:space="0" w:color="auto"/>
            </w:tcBorders>
            <w:shd w:val="clear" w:color="000000" w:fill="F97173"/>
            <w:noWrap/>
            <w:vAlign w:val="bottom"/>
            <w:hideMark/>
          </w:tcPr>
          <w:p w:rsidR="00A857BE" w:rsidRPr="00746D2B" w:rsidRDefault="00A857BE"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81</w:t>
            </w:r>
          </w:p>
        </w:tc>
        <w:tc>
          <w:tcPr>
            <w:tcW w:w="0" w:type="auto"/>
            <w:tcBorders>
              <w:bottom w:val="single" w:sz="4" w:space="0" w:color="auto"/>
            </w:tcBorders>
            <w:shd w:val="clear" w:color="auto" w:fill="auto"/>
            <w:noWrap/>
            <w:vAlign w:val="bottom"/>
            <w:hideMark/>
          </w:tcPr>
          <w:p w:rsidR="00A857BE" w:rsidRPr="00746D2B" w:rsidRDefault="00A857BE" w:rsidP="00746D2B">
            <w:pPr>
              <w:spacing w:after="0" w:line="240" w:lineRule="auto"/>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Sør Østerdal</w:t>
            </w:r>
          </w:p>
        </w:tc>
        <w:tc>
          <w:tcPr>
            <w:tcW w:w="0" w:type="auto"/>
            <w:tcBorders>
              <w:bottom w:val="single" w:sz="4" w:space="0" w:color="auto"/>
            </w:tcBorders>
            <w:shd w:val="clear" w:color="auto" w:fill="auto"/>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15</w:t>
            </w:r>
          </w:p>
        </w:tc>
        <w:tc>
          <w:tcPr>
            <w:tcW w:w="0" w:type="auto"/>
            <w:tcBorders>
              <w:bottom w:val="single" w:sz="4" w:space="0" w:color="auto"/>
            </w:tcBorders>
            <w:shd w:val="clear" w:color="000000" w:fill="F9B0B3"/>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D4E0F1"/>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4,8</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BDDE0"/>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ABCBE"/>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6,7</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8696B"/>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0,0</w:t>
            </w:r>
          </w:p>
        </w:tc>
        <w:tc>
          <w:tcPr>
            <w:tcW w:w="0" w:type="auto"/>
            <w:tcBorders>
              <w:bottom w:val="single" w:sz="4" w:space="0" w:color="auto"/>
            </w:tcBorders>
            <w:shd w:val="clear" w:color="000000" w:fill="F87D7F"/>
            <w:noWrap/>
            <w:vAlign w:val="bottom"/>
            <w:hideMark/>
          </w:tcPr>
          <w:p w:rsidR="00A857BE" w:rsidRPr="00746D2B" w:rsidRDefault="00A857BE"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52,4</w:t>
            </w:r>
          </w:p>
        </w:tc>
      </w:tr>
      <w:tr w:rsidR="00746D2B" w:rsidRPr="000E52D5" w:rsidTr="00A857BE">
        <w:trPr>
          <w:trHeight w:val="227"/>
        </w:trPr>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 </w:t>
            </w:r>
            <w:r w:rsidR="000E52D5">
              <w:rPr>
                <w:rFonts w:ascii="Arial" w:eastAsia="Times New Roman" w:hAnsi="Arial" w:cs="Arial"/>
                <w:b/>
                <w:bCs/>
                <w:color w:val="000000"/>
                <w:sz w:val="18"/>
                <w:szCs w:val="18"/>
                <w:lang w:eastAsia="nb-NO"/>
              </w:rPr>
              <w:t>Norge</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b/>
                <w:bCs/>
                <w:color w:val="000000"/>
                <w:sz w:val="18"/>
                <w:szCs w:val="18"/>
                <w:lang w:eastAsia="nb-NO"/>
              </w:rPr>
            </w:pPr>
            <w:r w:rsidRPr="00746D2B">
              <w:rPr>
                <w:rFonts w:ascii="Arial" w:eastAsia="Times New Roman" w:hAnsi="Arial" w:cs="Arial"/>
                <w:b/>
                <w:bCs/>
                <w:color w:val="000000"/>
                <w:sz w:val="18"/>
                <w:szCs w:val="18"/>
                <w:lang w:eastAsia="nb-NO"/>
              </w:rPr>
              <w:t>5274</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14,6</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7,2</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3,3</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6,2</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8,5</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3,2</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6,0</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4,7</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12,7</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12,1</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8,5</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7,4</w:t>
            </w:r>
          </w:p>
        </w:tc>
        <w:tc>
          <w:tcPr>
            <w:tcW w:w="0" w:type="auto"/>
            <w:tcBorders>
              <w:top w:val="single" w:sz="4" w:space="0" w:color="auto"/>
            </w:tcBorders>
            <w:shd w:val="clear" w:color="auto" w:fill="auto"/>
            <w:noWrap/>
            <w:vAlign w:val="bottom"/>
            <w:hideMark/>
          </w:tcPr>
          <w:p w:rsidR="00746D2B" w:rsidRPr="00746D2B" w:rsidRDefault="00746D2B" w:rsidP="00746D2B">
            <w:pPr>
              <w:spacing w:after="0" w:line="240" w:lineRule="auto"/>
              <w:jc w:val="right"/>
              <w:rPr>
                <w:rFonts w:ascii="Arial" w:eastAsia="Times New Roman" w:hAnsi="Arial" w:cs="Arial"/>
                <w:color w:val="000000"/>
                <w:sz w:val="18"/>
                <w:szCs w:val="18"/>
                <w:lang w:eastAsia="nb-NO"/>
              </w:rPr>
            </w:pPr>
            <w:r w:rsidRPr="00746D2B">
              <w:rPr>
                <w:rFonts w:ascii="Arial" w:eastAsia="Times New Roman" w:hAnsi="Arial" w:cs="Arial"/>
                <w:color w:val="000000"/>
                <w:sz w:val="18"/>
                <w:szCs w:val="18"/>
                <w:lang w:eastAsia="nb-NO"/>
              </w:rPr>
              <w:t>167,2</w:t>
            </w:r>
          </w:p>
        </w:tc>
      </w:tr>
    </w:tbl>
    <w:p w:rsidR="00746D2B" w:rsidRDefault="00746D2B" w:rsidP="00746D2B"/>
    <w:p w:rsidR="00EE76B0" w:rsidRDefault="007D45DD" w:rsidP="00EE76B0">
      <w:pPr>
        <w:sectPr w:rsidR="00EE76B0" w:rsidSect="00687F25">
          <w:type w:val="continuous"/>
          <w:pgSz w:w="11906" w:h="16838"/>
          <w:pgMar w:top="1440" w:right="1080" w:bottom="1440" w:left="1080" w:header="708" w:footer="708" w:gutter="0"/>
          <w:cols w:space="708"/>
          <w:docGrid w:linePitch="360"/>
        </w:sectPr>
      </w:pPr>
      <w:r>
        <w:t xml:space="preserve">Det er 36 </w:t>
      </w:r>
      <w:proofErr w:type="spellStart"/>
      <w:r>
        <w:t>enbedriftsforetak</w:t>
      </w:r>
      <w:proofErr w:type="spellEnd"/>
      <w:r>
        <w:t xml:space="preserve"> i </w:t>
      </w:r>
      <w:proofErr w:type="spellStart"/>
      <w:r>
        <w:t>Glåmdal</w:t>
      </w:r>
      <w:proofErr w:type="spellEnd"/>
      <w:r>
        <w:t xml:space="preserve">, hvorav svært få av dem er innovative. Andelen bedrifter som har introdusert produktinnovasjoner som er nye for markedet er høyere enn andelen på landsbasis. Ellers fremstår </w:t>
      </w:r>
      <w:proofErr w:type="spellStart"/>
      <w:r>
        <w:t>Glåmdal</w:t>
      </w:r>
      <w:proofErr w:type="spellEnd"/>
      <w:r>
        <w:t xml:space="preserve"> som en region med et svært lite innovativt næringsliv – sammenliknet med landsgjennomsnittet og de andre regionene i Norge. </w:t>
      </w:r>
      <w:r w:rsidR="00EE76B0">
        <w:br w:type="page"/>
      </w:r>
    </w:p>
    <w:p w:rsidR="00500C46" w:rsidRDefault="00500C46" w:rsidP="00500C46">
      <w:pPr>
        <w:pStyle w:val="Overskrift3"/>
        <w:tabs>
          <w:tab w:val="clear" w:pos="170"/>
          <w:tab w:val="clear" w:pos="284"/>
        </w:tabs>
        <w:ind w:left="720" w:hanging="720"/>
      </w:pPr>
      <w:bookmarkStart w:id="72" w:name="_Toc376866153"/>
      <w:r>
        <w:lastRenderedPageBreak/>
        <w:t xml:space="preserve">Innovasjonsgrad </w:t>
      </w:r>
      <w:bookmarkEnd w:id="72"/>
    </w:p>
    <w:p w:rsidR="00607B8B" w:rsidRDefault="00500C46" w:rsidP="00607B8B">
      <w:r>
        <w:t xml:space="preserve">Hvis vi skal foreta en rangering av </w:t>
      </w:r>
      <w:r w:rsidR="00607B8B">
        <w:t>regionene</w:t>
      </w:r>
      <w:r>
        <w:t xml:space="preserve"> når det gjelder andeler innovative foretak, kan vi kombinere resultatene fra de to tabellene vi har vist i de foregående sidene. Vi får da en rangering som vist i figuren til høyre. </w:t>
      </w:r>
      <w:r w:rsidR="00607B8B">
        <w:t>Noen regioner er slått sammen på grunn av lavt antall bedrifter som er med i undersøkelsen, slik at det er 83 regioner som er rangert.</w:t>
      </w:r>
    </w:p>
    <w:p w:rsidR="00607B8B" w:rsidRDefault="003E4219" w:rsidP="00500C46">
      <w:proofErr w:type="spellStart"/>
      <w:r>
        <w:t>Glåmdal</w:t>
      </w:r>
      <w:proofErr w:type="spellEnd"/>
      <w:r>
        <w:t xml:space="preserve"> kommer dårlig ut på den samlede rangeringen av innovasjonsgrad</w:t>
      </w:r>
      <w:r w:rsidR="00C15EC3">
        <w:t>.</w:t>
      </w:r>
      <w:r>
        <w:t xml:space="preserve"> </w:t>
      </w:r>
      <w:proofErr w:type="spellStart"/>
      <w:r>
        <w:t>Glåmdal</w:t>
      </w:r>
      <w:proofErr w:type="spellEnd"/>
      <w:r>
        <w:t xml:space="preserve"> kommer på en 68. plass av de 83 regionene som er med. </w:t>
      </w:r>
    </w:p>
    <w:p w:rsidR="008A5BA1" w:rsidRDefault="008A5BA1" w:rsidP="00500C46">
      <w:r>
        <w:t xml:space="preserve">I Hedmark er det Fjellregionen som har det mest innovative næringslivet. </w:t>
      </w:r>
    </w:p>
    <w:p w:rsidR="00607B8B" w:rsidRDefault="00607B8B" w:rsidP="00500C46"/>
    <w:p w:rsidR="00500C46" w:rsidRDefault="00500C46" w:rsidP="00500C46"/>
    <w:p w:rsidR="00500C46" w:rsidRDefault="00500C46" w:rsidP="00500C46"/>
    <w:p w:rsidR="00500C46" w:rsidRDefault="00500C46" w:rsidP="00500C46">
      <w:pPr>
        <w:keepNext/>
      </w:pPr>
      <w:r>
        <w:br w:type="column"/>
      </w:r>
      <w:r w:rsidR="004F710A">
        <w:rPr>
          <w:noProof/>
          <w:lang w:eastAsia="nb-NO"/>
        </w:rPr>
        <w:lastRenderedPageBreak/>
        <w:drawing>
          <wp:inline distT="0" distB="0" distL="0" distR="0">
            <wp:extent cx="3004185" cy="7919499"/>
            <wp:effectExtent l="0" t="0" r="5715"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00C46" w:rsidRDefault="00500C46" w:rsidP="00500C46">
      <w:pPr>
        <w:pStyle w:val="Bildetekst"/>
      </w:pPr>
      <w:r>
        <w:t xml:space="preserve">Figur </w:t>
      </w:r>
      <w:r w:rsidR="004B3D9E">
        <w:fldChar w:fldCharType="begin"/>
      </w:r>
      <w:r>
        <w:instrText xml:space="preserve"> SEQ Figur \* ARABIC </w:instrText>
      </w:r>
      <w:r w:rsidR="004B3D9E">
        <w:fldChar w:fldCharType="separate"/>
      </w:r>
      <w:r w:rsidR="00CD5BFF">
        <w:rPr>
          <w:noProof/>
        </w:rPr>
        <w:t>73</w:t>
      </w:r>
      <w:r w:rsidR="004B3D9E">
        <w:rPr>
          <w:noProof/>
        </w:rPr>
        <w:fldChar w:fldCharType="end"/>
      </w:r>
      <w:r>
        <w:t xml:space="preserve">: </w:t>
      </w:r>
      <w:r w:rsidR="00607B8B">
        <w:t xml:space="preserve">Innovasjonsgrad i regionene basert på resultatene fra de to foregående tabellene. </w:t>
      </w:r>
      <w:r w:rsidR="00CE3F42">
        <w:t xml:space="preserve">Rangering blant de 83 regionene mht. samlet og vektet innovasjonsgrad. </w:t>
      </w:r>
    </w:p>
    <w:p w:rsidR="004F710A" w:rsidRDefault="004F710A">
      <w:pPr>
        <w:spacing w:after="0" w:line="240" w:lineRule="auto"/>
        <w:sectPr w:rsidR="004F710A" w:rsidSect="00687F25">
          <w:type w:val="continuous"/>
          <w:pgSz w:w="11906" w:h="16838"/>
          <w:pgMar w:top="1440" w:right="1080" w:bottom="1440" w:left="1080" w:header="708" w:footer="708" w:gutter="0"/>
          <w:cols w:num="2" w:space="284"/>
          <w:docGrid w:linePitch="360"/>
        </w:sectPr>
      </w:pPr>
      <w:r>
        <w:br w:type="page"/>
      </w:r>
    </w:p>
    <w:p w:rsidR="004F710A" w:rsidRDefault="009B0D07" w:rsidP="005777AB">
      <w:pPr>
        <w:pStyle w:val="Overskrift3"/>
        <w:spacing w:before="0" w:after="120"/>
      </w:pPr>
      <w:r>
        <w:lastRenderedPageBreak/>
        <w:t xml:space="preserve">Rangering innovasjonsgrad for både </w:t>
      </w:r>
      <w:proofErr w:type="spellStart"/>
      <w:r>
        <w:t>enbedrifts-</w:t>
      </w:r>
      <w:proofErr w:type="spellEnd"/>
      <w:r>
        <w:t xml:space="preserve"> og flerbedriftsforetak</w:t>
      </w:r>
    </w:p>
    <w:p w:rsidR="009B0D07" w:rsidRDefault="002A26CC" w:rsidP="009B0D07">
      <w:r>
        <w:t xml:space="preserve">Figuren under viser hvordan </w:t>
      </w:r>
      <w:proofErr w:type="spellStart"/>
      <w:r>
        <w:t>Glåmdal</w:t>
      </w:r>
      <w:proofErr w:type="spellEnd"/>
      <w:r>
        <w:t xml:space="preserve"> rangerer for hver indikator – både for </w:t>
      </w:r>
      <w:proofErr w:type="spellStart"/>
      <w:r>
        <w:t>enbedriftsforetakene</w:t>
      </w:r>
      <w:proofErr w:type="spellEnd"/>
      <w:r>
        <w:t xml:space="preserve"> og for flerbedriftsforetakene. Jo lenger ut, dess høyere rangering. Jo nærmere midten, dess lavere rangering. </w:t>
      </w:r>
    </w:p>
    <w:p w:rsidR="00500C46" w:rsidRDefault="00AD6B03" w:rsidP="00AD6B03">
      <w:pPr>
        <w:keepNext/>
        <w:jc w:val="center"/>
      </w:pPr>
      <w:r>
        <w:rPr>
          <w:noProof/>
          <w:lang w:eastAsia="nb-NO"/>
        </w:rPr>
        <w:drawing>
          <wp:inline distT="0" distB="0" distL="0" distR="0">
            <wp:extent cx="6208395" cy="3419061"/>
            <wp:effectExtent l="0" t="0" r="190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00C46" w:rsidRDefault="00500C46" w:rsidP="00500C46">
      <w:pPr>
        <w:pStyle w:val="Bildetekst"/>
      </w:pPr>
      <w:r>
        <w:t xml:space="preserve">Figur </w:t>
      </w:r>
      <w:r w:rsidR="004B3D9E">
        <w:fldChar w:fldCharType="begin"/>
      </w:r>
      <w:r>
        <w:instrText xml:space="preserve"> SEQ Figur \* ARABIC </w:instrText>
      </w:r>
      <w:r w:rsidR="004B3D9E">
        <w:fldChar w:fldCharType="separate"/>
      </w:r>
      <w:r w:rsidR="00CD5BFF">
        <w:rPr>
          <w:noProof/>
        </w:rPr>
        <w:t>74</w:t>
      </w:r>
      <w:r w:rsidR="004B3D9E">
        <w:rPr>
          <w:noProof/>
        </w:rPr>
        <w:fldChar w:fldCharType="end"/>
      </w:r>
      <w:r>
        <w:t xml:space="preserve">: Rangering for </w:t>
      </w:r>
      <w:proofErr w:type="spellStart"/>
      <w:r w:rsidR="00CE0621">
        <w:t>Glåmdal</w:t>
      </w:r>
      <w:proofErr w:type="spellEnd"/>
      <w:r>
        <w:t xml:space="preserve"> for de ulike innovasjonstypene.</w:t>
      </w:r>
      <w:r w:rsidR="000F11AB">
        <w:t xml:space="preserve"> Rangering blant de 83 regionene som er med i utvalget. </w:t>
      </w:r>
    </w:p>
    <w:p w:rsidR="00FC5625" w:rsidRDefault="00E315E6" w:rsidP="00FC5625">
      <w:r>
        <w:t xml:space="preserve">Det kommer tydelig frem at </w:t>
      </w:r>
      <w:proofErr w:type="spellStart"/>
      <w:r>
        <w:t>Glåmdals</w:t>
      </w:r>
      <w:proofErr w:type="spellEnd"/>
      <w:r>
        <w:t xml:space="preserve"> flerbedriftsforetak har en høyere rangering mht. innovasjonsgrad enn det </w:t>
      </w:r>
      <w:proofErr w:type="spellStart"/>
      <w:r>
        <w:t>enbedriftsforetakene</w:t>
      </w:r>
      <w:proofErr w:type="spellEnd"/>
      <w:r>
        <w:t xml:space="preserve"> har. Det betyr at </w:t>
      </w:r>
      <w:r w:rsidR="0005089C">
        <w:t xml:space="preserve">de fleste </w:t>
      </w:r>
      <w:r w:rsidR="0094029C">
        <w:t>bedriftene</w:t>
      </w:r>
      <w:r>
        <w:t xml:space="preserve"> som </w:t>
      </w:r>
      <w:r w:rsidR="00816072">
        <w:t>har oppgitt at de har introdusert nye innovasjoner</w:t>
      </w:r>
      <w:r>
        <w:t xml:space="preserve"> kommer fra</w:t>
      </w:r>
      <w:r w:rsidR="001F5FD5">
        <w:t xml:space="preserve"> foretak</w:t>
      </w:r>
      <w:r>
        <w:t xml:space="preserve"> som har </w:t>
      </w:r>
      <w:r w:rsidR="001F5FD5">
        <w:t xml:space="preserve">virksomheter </w:t>
      </w:r>
      <w:r w:rsidR="00816072">
        <w:t>flere steder i landet</w:t>
      </w:r>
      <w:r w:rsidR="001F5FD5">
        <w:t xml:space="preserve">. </w:t>
      </w:r>
    </w:p>
    <w:p w:rsidR="0079728E" w:rsidRDefault="00BF082D" w:rsidP="00FC5625">
      <w:r>
        <w:t>En godt over middels andel av flerbedriftsforetakene</w:t>
      </w:r>
      <w:r w:rsidR="00816072">
        <w:t xml:space="preserve"> oppgir at de</w:t>
      </w:r>
      <w:r>
        <w:t xml:space="preserve"> har introdusert produktinnovasjon i form av nye eller vesentlige forbedrede varer samt produktinnovasjoner som er nye for markedet. Innen prosessinnovasjon har en forholdsvis stor andel av flerbedriftsforetakene</w:t>
      </w:r>
      <w:r w:rsidR="00816072">
        <w:t xml:space="preserve"> oppgitt at de har</w:t>
      </w:r>
      <w:r>
        <w:t xml:space="preserve"> introdusert nye eller vesentlige støttefunksjoner, som systemer for vedlikehold, innkjøp, regnskap eller IT. </w:t>
      </w:r>
      <w:proofErr w:type="spellStart"/>
      <w:r>
        <w:t>Glåmdal</w:t>
      </w:r>
      <w:proofErr w:type="spellEnd"/>
      <w:r>
        <w:t xml:space="preserve"> rangerer også høyt mht. indikatoren «ny metode for markedet». Det betyr at en relativt høy andel av flerbedriftsforetakene har </w:t>
      </w:r>
      <w:r w:rsidR="0079728E">
        <w:t xml:space="preserve">oppgitt at </w:t>
      </w:r>
      <w:r w:rsidR="0079728E" w:rsidRPr="0079728E">
        <w:t>noen av prosessinnovasjonene introdusert i perioden 2010-2012 var nye for foretakets marked</w:t>
      </w:r>
      <w:r w:rsidR="0079728E">
        <w:t xml:space="preserve">. </w:t>
      </w:r>
      <w:r w:rsidR="00136D8E">
        <w:t xml:space="preserve">Innen markedsinnovasjon har en relativt høy andel av flerbedriftsforetakene oppgitt at de har introdusert markedsinnovasjoner i form av nye måter for produktplassering eller salgskanaler samt nye metoder for prising. </w:t>
      </w:r>
    </w:p>
    <w:p w:rsidR="0079728E" w:rsidRDefault="008C4660" w:rsidP="00FC5625">
      <w:proofErr w:type="spellStart"/>
      <w:r>
        <w:t>Enbedriftsforetakene</w:t>
      </w:r>
      <w:proofErr w:type="spellEnd"/>
      <w:r>
        <w:t xml:space="preserve"> rangerer lavt på alle indikatorene for innovasjon</w:t>
      </w:r>
      <w:r w:rsidR="00573DF6">
        <w:t>,</w:t>
      </w:r>
      <w:r>
        <w:t xml:space="preserve"> bortsett fra indikatoren for «nytt marked». Det betyr at en relativt høy andel av </w:t>
      </w:r>
      <w:proofErr w:type="spellStart"/>
      <w:r>
        <w:t>enbedriftsforetakene</w:t>
      </w:r>
      <w:proofErr w:type="spellEnd"/>
      <w:r>
        <w:t xml:space="preserve"> har oppgitt at de har introdusert produktinnovasjoner som er nye for markedet. </w:t>
      </w:r>
    </w:p>
    <w:p w:rsidR="004F710A" w:rsidRDefault="008C4660" w:rsidP="005777AB">
      <w:pPr>
        <w:sectPr w:rsidR="004F710A" w:rsidSect="009B0D07">
          <w:type w:val="continuous"/>
          <w:pgSz w:w="11906" w:h="16838"/>
          <w:pgMar w:top="1440" w:right="1080" w:bottom="1440" w:left="1080" w:header="708" w:footer="708" w:gutter="0"/>
          <w:cols w:space="284"/>
          <w:docGrid w:linePitch="360"/>
        </w:sectPr>
      </w:pPr>
      <w:r>
        <w:t xml:space="preserve">Siden undersøkelsen baserer seg på selvrapportering, må man tolke dataene </w:t>
      </w:r>
      <w:r w:rsidR="006D204C">
        <w:t>varsomt</w:t>
      </w:r>
      <w:r>
        <w:t xml:space="preserve">. Det </w:t>
      </w:r>
      <w:r w:rsidRPr="008C4660">
        <w:rPr>
          <w:i/>
        </w:rPr>
        <w:t>kan</w:t>
      </w:r>
      <w:r>
        <w:t xml:space="preserve"> være kulturelle faktorer som spiller inn. </w:t>
      </w:r>
      <w:r w:rsidR="00816072">
        <w:t>Kanskje flerbedriftsforetakene «skryter» mer av seg selv</w:t>
      </w:r>
      <w:r w:rsidR="00580154">
        <w:t xml:space="preserve"> eller tilhører bransjer med et generelt høyt innovasjonsnivå</w:t>
      </w:r>
      <w:r w:rsidR="00573DF6">
        <w:t>? Kanskje</w:t>
      </w:r>
      <w:r w:rsidR="00816072">
        <w:t xml:space="preserve"> folk i Hedmark er mindre </w:t>
      </w:r>
      <w:proofErr w:type="spellStart"/>
      <w:r w:rsidR="006166CC">
        <w:t>selv-skrytende</w:t>
      </w:r>
      <w:proofErr w:type="spellEnd"/>
      <w:r w:rsidR="00816072">
        <w:t xml:space="preserve"> og mer beskjedene i sin selvrapportering enn det </w:t>
      </w:r>
      <w:r w:rsidR="006166CC">
        <w:t xml:space="preserve">folk fra andre deler av landet er? </w:t>
      </w:r>
      <w:r w:rsidR="008D5DDA">
        <w:t xml:space="preserve">Siden mange av </w:t>
      </w:r>
      <w:proofErr w:type="spellStart"/>
      <w:r w:rsidR="00B22FBC">
        <w:t>enbedriftsforetakene</w:t>
      </w:r>
      <w:proofErr w:type="spellEnd"/>
      <w:r w:rsidR="00B22FBC">
        <w:t xml:space="preserve"> i </w:t>
      </w:r>
      <w:proofErr w:type="spellStart"/>
      <w:r w:rsidR="00B22FBC">
        <w:t>Glåmdal</w:t>
      </w:r>
      <w:proofErr w:type="spellEnd"/>
      <w:r w:rsidR="00B22FBC">
        <w:t xml:space="preserve"> </w:t>
      </w:r>
      <w:r w:rsidR="00FD4DE0">
        <w:t>antageligvis</w:t>
      </w:r>
      <w:r w:rsidR="00B22FBC">
        <w:t xml:space="preserve"> kommer fra landbruket, kan det være noe ku</w:t>
      </w:r>
      <w:r w:rsidR="00FD4DE0">
        <w:t xml:space="preserve">lturelt </w:t>
      </w:r>
      <w:r w:rsidR="00B22FBC">
        <w:t xml:space="preserve">eller strukturelt ved denne bransjen som </w:t>
      </w:r>
      <w:r w:rsidR="007A3432">
        <w:t>tilsier</w:t>
      </w:r>
      <w:r w:rsidR="00B22FBC">
        <w:t xml:space="preserve"> at man tilsynelatende er mindre innovativ. Her er det mange tvetydige og </w:t>
      </w:r>
      <w:r w:rsidR="00580154">
        <w:t>vage</w:t>
      </w:r>
      <w:r w:rsidR="00DA5CC8">
        <w:t xml:space="preserve"> </w:t>
      </w:r>
      <w:r w:rsidR="00DA5CC8">
        <w:lastRenderedPageBreak/>
        <w:t>tolkninger</w:t>
      </w:r>
      <w:r w:rsidR="00580154">
        <w:t xml:space="preserve"> som kan diskuteres. Det vi</w:t>
      </w:r>
      <w:r w:rsidR="008F1C39">
        <w:t xml:space="preserve"> derimot vet</w:t>
      </w:r>
      <w:r w:rsidR="00580154">
        <w:t xml:space="preserve"> er at basert på selvrapporteringen fra </w:t>
      </w:r>
      <w:proofErr w:type="spellStart"/>
      <w:r w:rsidR="00580154">
        <w:t>enbedriftsforetakene</w:t>
      </w:r>
      <w:proofErr w:type="spellEnd"/>
      <w:r w:rsidR="00580154">
        <w:t xml:space="preserve">, fremstår </w:t>
      </w:r>
      <w:proofErr w:type="spellStart"/>
      <w:r w:rsidR="00580154">
        <w:t>Glåmdals</w:t>
      </w:r>
      <w:proofErr w:type="spellEnd"/>
      <w:r w:rsidR="00580154">
        <w:t xml:space="preserve"> næringsliv som lite innovativt. </w:t>
      </w:r>
      <w:r w:rsidR="004F710A">
        <w:br w:type="page"/>
      </w:r>
    </w:p>
    <w:p w:rsidR="00500C46" w:rsidRPr="00017E0A" w:rsidRDefault="00500C46" w:rsidP="00500C46">
      <w:pPr>
        <w:pStyle w:val="Overskrift2"/>
        <w:spacing w:before="120"/>
      </w:pPr>
      <w:bookmarkStart w:id="73" w:name="_Toc376866155"/>
      <w:r w:rsidRPr="00017E0A">
        <w:lastRenderedPageBreak/>
        <w:t>Innovasjonsklima</w:t>
      </w:r>
      <w:bookmarkEnd w:id="73"/>
    </w:p>
    <w:p w:rsidR="00500C46" w:rsidRDefault="00500C46" w:rsidP="00500C46">
      <w:r>
        <w:t>Andelen av innovative foretak varierer ganske sterkt mellom ulike bransjer. I en bransje som produksjon av datamaskiner og elektroniske produkter oppgir over 65 prosent av foretakene at de har introdusert nye produkter på markedet, mens i andre bransjer er andelen null. Samtidig øker sannsynligheten for at bedriften er innovativ med størrelsen til bedriften. Dermed vil en region som har mange bedrifter i bransjer med høy innovasjonsgrad naturlig få en høyere andel innovative bedrifter, mens regioner med mange bedrifter i bransjer med lav andel innovative bedrifter vil sannsynligvis få lave andeler med innovative bedrifter. Vi kan måle andelen innovative bedrifter i regionene, der vi samtidig korrigerer for ulikheter i bransjestruktur og fordeling mellom små og store bedrifter. Da får vi et uttrykk for om regionen har høy eller lav andel innovative foretak</w:t>
      </w:r>
      <w:r w:rsidR="00DC5DB2">
        <w:t>,</w:t>
      </w:r>
      <w:r>
        <w:t xml:space="preserve"> gitt sin bransje- og størrelsesstruktur. Vi kaller dette for </w:t>
      </w:r>
      <w:r w:rsidRPr="00CF7CA3">
        <w:rPr>
          <w:i/>
        </w:rPr>
        <w:t>innovasjonsklima</w:t>
      </w:r>
      <w:r>
        <w:rPr>
          <w:rStyle w:val="Sluttnotereferanse"/>
          <w:i/>
        </w:rPr>
        <w:endnoteReference w:id="4"/>
      </w:r>
      <w:r>
        <w:t xml:space="preserve">. Vi konsentrerer oss om </w:t>
      </w:r>
      <w:proofErr w:type="spellStart"/>
      <w:r>
        <w:t>enbedriftsforetakene</w:t>
      </w:r>
      <w:proofErr w:type="spellEnd"/>
      <w:r>
        <w:t xml:space="preserve"> i denne analysen. Resultatene av denne analysen er gitt i tabellen under.</w:t>
      </w:r>
    </w:p>
    <w:p w:rsidR="00500C46" w:rsidRDefault="00500C46" w:rsidP="00500C46">
      <w:pPr>
        <w:pStyle w:val="Bildetekst"/>
        <w:keepNext/>
      </w:pPr>
      <w:r>
        <w:t xml:space="preserve">Tabell </w:t>
      </w:r>
      <w:r w:rsidR="004B3D9E">
        <w:fldChar w:fldCharType="begin"/>
      </w:r>
      <w:r>
        <w:instrText xml:space="preserve"> SEQ Tabell \* ARABIC </w:instrText>
      </w:r>
      <w:r w:rsidR="004B3D9E">
        <w:fldChar w:fldCharType="separate"/>
      </w:r>
      <w:r w:rsidR="00CD5BFF">
        <w:rPr>
          <w:noProof/>
        </w:rPr>
        <w:t>12</w:t>
      </w:r>
      <w:r w:rsidR="004B3D9E">
        <w:rPr>
          <w:noProof/>
        </w:rPr>
        <w:fldChar w:fldCharType="end"/>
      </w:r>
      <w:r>
        <w:t>: Innovasjonsklima, målt som over</w:t>
      </w:r>
      <w:r w:rsidR="00B83526">
        <w:t>-</w:t>
      </w:r>
      <w:r>
        <w:t xml:space="preserve"> eller underhyppighet i et område for at en bedrift er innovativ</w:t>
      </w:r>
      <w:r w:rsidR="00AD6243">
        <w:t>,</w:t>
      </w:r>
      <w:r>
        <w:t xml:space="preserve"> gitt bransje og størrelse. Verdiene er gjort om til rangering, der 1=beste </w:t>
      </w:r>
      <w:r w:rsidR="00B83526">
        <w:t>region og 83</w:t>
      </w:r>
      <w:r>
        <w:t>=dårligste.</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tblPr>
      <w:tblGrid>
        <w:gridCol w:w="462"/>
        <w:gridCol w:w="2387"/>
        <w:gridCol w:w="463"/>
        <w:gridCol w:w="463"/>
        <w:gridCol w:w="463"/>
        <w:gridCol w:w="469"/>
        <w:gridCol w:w="463"/>
        <w:gridCol w:w="463"/>
        <w:gridCol w:w="737"/>
        <w:gridCol w:w="463"/>
        <w:gridCol w:w="463"/>
        <w:gridCol w:w="736"/>
        <w:gridCol w:w="465"/>
        <w:gridCol w:w="463"/>
        <w:gridCol w:w="463"/>
        <w:gridCol w:w="463"/>
      </w:tblGrid>
      <w:tr w:rsidR="00277582" w:rsidRPr="00DC3433" w:rsidTr="00277582">
        <w:trPr>
          <w:cantSplit/>
          <w:trHeight w:val="227"/>
        </w:trPr>
        <w:tc>
          <w:tcPr>
            <w:tcW w:w="234" w:type="pct"/>
            <w:shd w:val="clear" w:color="000000" w:fill="DDEBF7"/>
            <w:noWrap/>
            <w:textDirection w:val="btLr"/>
            <w:vAlign w:val="center"/>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p>
        </w:tc>
        <w:tc>
          <w:tcPr>
            <w:tcW w:w="1208" w:type="pct"/>
            <w:shd w:val="clear" w:color="auto" w:fill="auto"/>
            <w:noWrap/>
            <w:vAlign w:val="center"/>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p>
        </w:tc>
        <w:tc>
          <w:tcPr>
            <w:tcW w:w="939" w:type="pct"/>
            <w:gridSpan w:val="4"/>
            <w:shd w:val="clear" w:color="000000" w:fill="DDEBF7"/>
            <w:noWrap/>
            <w:vAlign w:val="center"/>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Produkt</w:t>
            </w:r>
          </w:p>
        </w:tc>
        <w:tc>
          <w:tcPr>
            <w:tcW w:w="841" w:type="pct"/>
            <w:gridSpan w:val="3"/>
            <w:shd w:val="clear" w:color="000000" w:fill="DDEBF7"/>
            <w:noWrap/>
            <w:vAlign w:val="center"/>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Prosess</w:t>
            </w:r>
          </w:p>
        </w:tc>
        <w:tc>
          <w:tcPr>
            <w:tcW w:w="1075" w:type="pct"/>
            <w:gridSpan w:val="4"/>
            <w:shd w:val="clear" w:color="000000" w:fill="DDEBF7"/>
            <w:noWrap/>
            <w:vAlign w:val="center"/>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Marked</w:t>
            </w:r>
          </w:p>
        </w:tc>
        <w:tc>
          <w:tcPr>
            <w:tcW w:w="234" w:type="pct"/>
            <w:shd w:val="clear" w:color="000000" w:fill="DDEBF7"/>
            <w:noWrap/>
            <w:textDirection w:val="btLr"/>
            <w:vAlign w:val="center"/>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p>
        </w:tc>
        <w:tc>
          <w:tcPr>
            <w:tcW w:w="234" w:type="pct"/>
            <w:shd w:val="clear" w:color="000000" w:fill="DDEBF7"/>
            <w:noWrap/>
            <w:textDirection w:val="btLr"/>
            <w:vAlign w:val="center"/>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p>
        </w:tc>
        <w:tc>
          <w:tcPr>
            <w:tcW w:w="234" w:type="pct"/>
            <w:shd w:val="clear" w:color="000000" w:fill="DDEBF7"/>
            <w:noWrap/>
            <w:textDirection w:val="btLr"/>
            <w:vAlign w:val="center"/>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p>
        </w:tc>
      </w:tr>
      <w:tr w:rsidR="00277582" w:rsidRPr="00DC3433" w:rsidTr="00277582">
        <w:trPr>
          <w:cantSplit/>
          <w:trHeight w:val="1191"/>
        </w:trPr>
        <w:tc>
          <w:tcPr>
            <w:tcW w:w="234"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Rang</w:t>
            </w:r>
          </w:p>
        </w:tc>
        <w:tc>
          <w:tcPr>
            <w:tcW w:w="1208" w:type="pct"/>
            <w:shd w:val="clear" w:color="auto" w:fill="auto"/>
            <w:noWrap/>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Region</w:t>
            </w:r>
          </w:p>
        </w:tc>
        <w:tc>
          <w:tcPr>
            <w:tcW w:w="234"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Vare</w:t>
            </w:r>
          </w:p>
        </w:tc>
        <w:tc>
          <w:tcPr>
            <w:tcW w:w="234"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Tjeneste</w:t>
            </w:r>
          </w:p>
        </w:tc>
        <w:tc>
          <w:tcPr>
            <w:tcW w:w="234"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Nytt marked</w:t>
            </w:r>
          </w:p>
        </w:tc>
        <w:tc>
          <w:tcPr>
            <w:tcW w:w="236"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Nytt Verden</w:t>
            </w:r>
          </w:p>
        </w:tc>
        <w:tc>
          <w:tcPr>
            <w:tcW w:w="234"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Metode</w:t>
            </w:r>
          </w:p>
        </w:tc>
        <w:tc>
          <w:tcPr>
            <w:tcW w:w="234"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Distribusjon</w:t>
            </w:r>
          </w:p>
        </w:tc>
        <w:tc>
          <w:tcPr>
            <w:tcW w:w="373"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Støtte-</w:t>
            </w:r>
          </w:p>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funksjon</w:t>
            </w:r>
          </w:p>
        </w:tc>
        <w:tc>
          <w:tcPr>
            <w:tcW w:w="234"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Design</w:t>
            </w:r>
          </w:p>
        </w:tc>
        <w:tc>
          <w:tcPr>
            <w:tcW w:w="234"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Media</w:t>
            </w:r>
          </w:p>
        </w:tc>
        <w:tc>
          <w:tcPr>
            <w:tcW w:w="372"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Markeds-</w:t>
            </w:r>
          </w:p>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kanal</w:t>
            </w:r>
          </w:p>
        </w:tc>
        <w:tc>
          <w:tcPr>
            <w:tcW w:w="235"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Prising</w:t>
            </w:r>
          </w:p>
        </w:tc>
        <w:tc>
          <w:tcPr>
            <w:tcW w:w="234"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Produkt</w:t>
            </w:r>
          </w:p>
        </w:tc>
        <w:tc>
          <w:tcPr>
            <w:tcW w:w="234"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Prosess</w:t>
            </w:r>
          </w:p>
        </w:tc>
        <w:tc>
          <w:tcPr>
            <w:tcW w:w="234" w:type="pct"/>
            <w:shd w:val="clear" w:color="000000" w:fill="DDEBF7"/>
            <w:noWrap/>
            <w:textDirection w:val="btLr"/>
            <w:vAlign w:val="center"/>
            <w:hideMark/>
          </w:tcPr>
          <w:p w:rsidR="00277582" w:rsidRPr="00DC3433" w:rsidRDefault="00277582" w:rsidP="00182E28">
            <w:pPr>
              <w:spacing w:after="0" w:line="240" w:lineRule="auto"/>
              <w:ind w:left="113"/>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Marked</w:t>
            </w:r>
          </w:p>
        </w:tc>
      </w:tr>
      <w:tr w:rsidR="00277582" w:rsidRPr="00DC3433" w:rsidTr="00DC3433">
        <w:trPr>
          <w:trHeight w:val="198"/>
        </w:trPr>
        <w:tc>
          <w:tcPr>
            <w:tcW w:w="234" w:type="pct"/>
            <w:shd w:val="clear" w:color="000000" w:fill="618FC8"/>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proofErr w:type="spellStart"/>
            <w:r w:rsidRPr="00DC3433">
              <w:rPr>
                <w:rFonts w:ascii="Arial" w:eastAsia="Times New Roman" w:hAnsi="Arial" w:cs="Arial"/>
                <w:color w:val="000000"/>
                <w:sz w:val="17"/>
                <w:szCs w:val="17"/>
                <w:lang w:eastAsia="nb-NO"/>
              </w:rPr>
              <w:t>Gjøvikregionen</w:t>
            </w:r>
            <w:proofErr w:type="spellEnd"/>
          </w:p>
        </w:tc>
        <w:tc>
          <w:tcPr>
            <w:tcW w:w="234" w:type="pct"/>
            <w:shd w:val="clear" w:color="000000" w:fill="5D8CC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w:t>
            </w:r>
          </w:p>
        </w:tc>
        <w:tc>
          <w:tcPr>
            <w:tcW w:w="234" w:type="pct"/>
            <w:shd w:val="clear" w:color="000000" w:fill="A9C1E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21</w:t>
            </w:r>
          </w:p>
        </w:tc>
        <w:tc>
          <w:tcPr>
            <w:tcW w:w="234" w:type="pct"/>
            <w:shd w:val="clear" w:color="000000" w:fill="5A8AC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w:t>
            </w:r>
          </w:p>
        </w:tc>
        <w:tc>
          <w:tcPr>
            <w:tcW w:w="236" w:type="pct"/>
            <w:shd w:val="clear" w:color="000000" w:fill="6995C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w:t>
            </w:r>
          </w:p>
        </w:tc>
        <w:tc>
          <w:tcPr>
            <w:tcW w:w="234" w:type="pct"/>
            <w:shd w:val="clear" w:color="000000" w:fill="81A5D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11</w:t>
            </w:r>
          </w:p>
        </w:tc>
        <w:tc>
          <w:tcPr>
            <w:tcW w:w="234" w:type="pct"/>
            <w:shd w:val="clear" w:color="000000" w:fill="99B6D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17</w:t>
            </w:r>
          </w:p>
        </w:tc>
        <w:tc>
          <w:tcPr>
            <w:tcW w:w="373" w:type="pct"/>
            <w:shd w:val="clear" w:color="000000" w:fill="A5BEE0"/>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20</w:t>
            </w:r>
          </w:p>
        </w:tc>
        <w:tc>
          <w:tcPr>
            <w:tcW w:w="234" w:type="pct"/>
            <w:shd w:val="clear" w:color="000000" w:fill="B4C9E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24</w:t>
            </w:r>
          </w:p>
        </w:tc>
        <w:tc>
          <w:tcPr>
            <w:tcW w:w="234" w:type="pct"/>
            <w:shd w:val="clear" w:color="000000" w:fill="79A0D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9</w:t>
            </w:r>
          </w:p>
        </w:tc>
        <w:tc>
          <w:tcPr>
            <w:tcW w:w="372" w:type="pct"/>
            <w:shd w:val="clear" w:color="000000" w:fill="B8CCE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25</w:t>
            </w:r>
          </w:p>
        </w:tc>
        <w:tc>
          <w:tcPr>
            <w:tcW w:w="235" w:type="pct"/>
            <w:shd w:val="clear" w:color="000000" w:fill="99B6D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17</w:t>
            </w:r>
          </w:p>
        </w:tc>
        <w:tc>
          <w:tcPr>
            <w:tcW w:w="234" w:type="pct"/>
            <w:shd w:val="clear" w:color="000000" w:fill="5A8AC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w:t>
            </w:r>
          </w:p>
        </w:tc>
        <w:tc>
          <w:tcPr>
            <w:tcW w:w="234" w:type="pct"/>
            <w:shd w:val="clear" w:color="000000" w:fill="81A5D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11</w:t>
            </w:r>
          </w:p>
        </w:tc>
        <w:tc>
          <w:tcPr>
            <w:tcW w:w="234" w:type="pct"/>
            <w:shd w:val="clear" w:color="000000" w:fill="9DB9D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18</w:t>
            </w:r>
          </w:p>
        </w:tc>
      </w:tr>
      <w:tr w:rsidR="00277582" w:rsidRPr="00DC3433" w:rsidTr="00DC3433">
        <w:trPr>
          <w:trHeight w:val="198"/>
        </w:trPr>
        <w:tc>
          <w:tcPr>
            <w:tcW w:w="234" w:type="pct"/>
            <w:shd w:val="clear" w:color="000000" w:fill="6995CB"/>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Vest-Telemark</w:t>
            </w:r>
          </w:p>
        </w:tc>
        <w:tc>
          <w:tcPr>
            <w:tcW w:w="234" w:type="pct"/>
            <w:shd w:val="clear" w:color="000000" w:fill="719AC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w:t>
            </w:r>
          </w:p>
        </w:tc>
        <w:tc>
          <w:tcPr>
            <w:tcW w:w="234" w:type="pct"/>
            <w:shd w:val="clear" w:color="000000" w:fill="B4C9E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24</w:t>
            </w:r>
          </w:p>
        </w:tc>
        <w:tc>
          <w:tcPr>
            <w:tcW w:w="234" w:type="pct"/>
            <w:shd w:val="clear" w:color="000000" w:fill="85A8D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12</w:t>
            </w:r>
          </w:p>
        </w:tc>
        <w:tc>
          <w:tcPr>
            <w:tcW w:w="236" w:type="pct"/>
            <w:shd w:val="clear" w:color="000000" w:fill="5A8AC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w:t>
            </w:r>
          </w:p>
        </w:tc>
        <w:tc>
          <w:tcPr>
            <w:tcW w:w="234" w:type="pct"/>
            <w:shd w:val="clear" w:color="000000" w:fill="F97F8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77</w:t>
            </w:r>
          </w:p>
        </w:tc>
        <w:tc>
          <w:tcPr>
            <w:tcW w:w="234" w:type="pct"/>
            <w:shd w:val="clear" w:color="000000" w:fill="7DA3D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10</w:t>
            </w:r>
          </w:p>
        </w:tc>
        <w:tc>
          <w:tcPr>
            <w:tcW w:w="373" w:type="pct"/>
            <w:shd w:val="clear" w:color="000000" w:fill="6D97C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w:t>
            </w:r>
          </w:p>
        </w:tc>
        <w:tc>
          <w:tcPr>
            <w:tcW w:w="234" w:type="pct"/>
            <w:shd w:val="clear" w:color="000000" w:fill="618FC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w:t>
            </w:r>
          </w:p>
        </w:tc>
        <w:tc>
          <w:tcPr>
            <w:tcW w:w="234" w:type="pct"/>
            <w:shd w:val="clear" w:color="000000" w:fill="FAA3A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67</w:t>
            </w:r>
          </w:p>
        </w:tc>
        <w:tc>
          <w:tcPr>
            <w:tcW w:w="372" w:type="pct"/>
            <w:shd w:val="clear" w:color="000000" w:fill="91B0D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15</w:t>
            </w:r>
          </w:p>
        </w:tc>
        <w:tc>
          <w:tcPr>
            <w:tcW w:w="235" w:type="pct"/>
            <w:shd w:val="clear" w:color="000000" w:fill="79A0D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9</w:t>
            </w:r>
          </w:p>
        </w:tc>
        <w:tc>
          <w:tcPr>
            <w:tcW w:w="234" w:type="pct"/>
            <w:shd w:val="clear" w:color="000000" w:fill="6995C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w:t>
            </w:r>
          </w:p>
        </w:tc>
        <w:tc>
          <w:tcPr>
            <w:tcW w:w="234" w:type="pct"/>
            <w:shd w:val="clear" w:color="000000" w:fill="FCFCF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42</w:t>
            </w:r>
          </w:p>
        </w:tc>
        <w:tc>
          <w:tcPr>
            <w:tcW w:w="234" w:type="pct"/>
            <w:shd w:val="clear" w:color="000000" w:fill="6D97C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w:t>
            </w:r>
          </w:p>
        </w:tc>
      </w:tr>
      <w:tr w:rsidR="00277582" w:rsidRPr="00DC3433" w:rsidTr="00DC3433">
        <w:trPr>
          <w:trHeight w:val="198"/>
        </w:trPr>
        <w:tc>
          <w:tcPr>
            <w:tcW w:w="234" w:type="pct"/>
            <w:shd w:val="clear" w:color="000000" w:fill="6D97CC"/>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Fjellregionen</w:t>
            </w:r>
          </w:p>
        </w:tc>
        <w:tc>
          <w:tcPr>
            <w:tcW w:w="234" w:type="pct"/>
            <w:shd w:val="clear" w:color="000000" w:fill="7DA3D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10</w:t>
            </w:r>
          </w:p>
        </w:tc>
        <w:tc>
          <w:tcPr>
            <w:tcW w:w="234" w:type="pct"/>
            <w:shd w:val="clear" w:color="000000" w:fill="719AC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w:t>
            </w:r>
          </w:p>
        </w:tc>
        <w:tc>
          <w:tcPr>
            <w:tcW w:w="234" w:type="pct"/>
            <w:shd w:val="clear" w:color="000000" w:fill="719AC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w:t>
            </w:r>
          </w:p>
        </w:tc>
        <w:tc>
          <w:tcPr>
            <w:tcW w:w="236" w:type="pct"/>
            <w:shd w:val="clear" w:color="000000" w:fill="FAA6A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66</w:t>
            </w:r>
          </w:p>
        </w:tc>
        <w:tc>
          <w:tcPr>
            <w:tcW w:w="234" w:type="pct"/>
            <w:shd w:val="clear" w:color="000000" w:fill="6592C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w:t>
            </w:r>
          </w:p>
        </w:tc>
        <w:tc>
          <w:tcPr>
            <w:tcW w:w="234" w:type="pct"/>
            <w:shd w:val="clear" w:color="000000" w:fill="95B3D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16</w:t>
            </w:r>
          </w:p>
        </w:tc>
        <w:tc>
          <w:tcPr>
            <w:tcW w:w="373" w:type="pct"/>
            <w:shd w:val="clear" w:color="000000" w:fill="5A8AC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w:t>
            </w:r>
          </w:p>
        </w:tc>
        <w:tc>
          <w:tcPr>
            <w:tcW w:w="234" w:type="pct"/>
            <w:shd w:val="clear" w:color="000000" w:fill="6995C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w:t>
            </w:r>
          </w:p>
        </w:tc>
        <w:tc>
          <w:tcPr>
            <w:tcW w:w="234" w:type="pct"/>
            <w:shd w:val="clear" w:color="000000" w:fill="F4F6F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40</w:t>
            </w:r>
          </w:p>
        </w:tc>
        <w:tc>
          <w:tcPr>
            <w:tcW w:w="372" w:type="pct"/>
            <w:shd w:val="clear" w:color="000000" w:fill="FBCED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55</w:t>
            </w:r>
          </w:p>
        </w:tc>
        <w:tc>
          <w:tcPr>
            <w:tcW w:w="235" w:type="pct"/>
            <w:shd w:val="clear" w:color="000000" w:fill="5D8CC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w:t>
            </w:r>
          </w:p>
        </w:tc>
        <w:tc>
          <w:tcPr>
            <w:tcW w:w="234" w:type="pct"/>
            <w:shd w:val="clear" w:color="000000" w:fill="8DAED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14</w:t>
            </w:r>
          </w:p>
        </w:tc>
        <w:tc>
          <w:tcPr>
            <w:tcW w:w="234" w:type="pct"/>
            <w:shd w:val="clear" w:color="000000" w:fill="5D8CC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w:t>
            </w:r>
          </w:p>
        </w:tc>
        <w:tc>
          <w:tcPr>
            <w:tcW w:w="234" w:type="pct"/>
            <w:shd w:val="clear" w:color="000000" w:fill="79A0D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9</w:t>
            </w:r>
          </w:p>
        </w:tc>
      </w:tr>
      <w:tr w:rsidR="00277582" w:rsidRPr="00DC3433" w:rsidTr="00DC3433">
        <w:trPr>
          <w:trHeight w:val="198"/>
        </w:trPr>
        <w:tc>
          <w:tcPr>
            <w:tcW w:w="234" w:type="pct"/>
            <w:shd w:val="clear" w:color="000000" w:fill="81A5D3"/>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11</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proofErr w:type="spellStart"/>
            <w:r w:rsidRPr="00DC3433">
              <w:rPr>
                <w:rFonts w:ascii="Arial" w:eastAsia="Times New Roman" w:hAnsi="Arial" w:cs="Arial"/>
                <w:color w:val="000000"/>
                <w:sz w:val="17"/>
                <w:szCs w:val="17"/>
                <w:lang w:eastAsia="nb-NO"/>
              </w:rPr>
              <w:t>Vestviken</w:t>
            </w:r>
            <w:proofErr w:type="spellEnd"/>
          </w:p>
        </w:tc>
        <w:tc>
          <w:tcPr>
            <w:tcW w:w="234" w:type="pct"/>
            <w:shd w:val="clear" w:color="000000" w:fill="79A0D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9</w:t>
            </w:r>
          </w:p>
        </w:tc>
        <w:tc>
          <w:tcPr>
            <w:tcW w:w="234" w:type="pct"/>
            <w:shd w:val="clear" w:color="000000" w:fill="8DAED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14</w:t>
            </w:r>
          </w:p>
        </w:tc>
        <w:tc>
          <w:tcPr>
            <w:tcW w:w="234" w:type="pct"/>
            <w:shd w:val="clear" w:color="000000" w:fill="81A5D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11</w:t>
            </w:r>
          </w:p>
        </w:tc>
        <w:tc>
          <w:tcPr>
            <w:tcW w:w="236" w:type="pct"/>
            <w:shd w:val="clear" w:color="000000" w:fill="5D8CC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w:t>
            </w:r>
          </w:p>
        </w:tc>
        <w:tc>
          <w:tcPr>
            <w:tcW w:w="234" w:type="pct"/>
            <w:shd w:val="clear" w:color="000000" w:fill="FCE0E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50</w:t>
            </w:r>
          </w:p>
        </w:tc>
        <w:tc>
          <w:tcPr>
            <w:tcW w:w="234" w:type="pct"/>
            <w:shd w:val="clear" w:color="000000" w:fill="F9868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75</w:t>
            </w:r>
          </w:p>
        </w:tc>
        <w:tc>
          <w:tcPr>
            <w:tcW w:w="373" w:type="pct"/>
            <w:shd w:val="clear" w:color="000000" w:fill="FCEEF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46</w:t>
            </w:r>
          </w:p>
        </w:tc>
        <w:tc>
          <w:tcPr>
            <w:tcW w:w="234" w:type="pct"/>
            <w:shd w:val="clear" w:color="000000" w:fill="D8E2F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33</w:t>
            </w:r>
          </w:p>
        </w:tc>
        <w:tc>
          <w:tcPr>
            <w:tcW w:w="234" w:type="pct"/>
            <w:shd w:val="clear" w:color="000000" w:fill="B8CCE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25</w:t>
            </w:r>
          </w:p>
        </w:tc>
        <w:tc>
          <w:tcPr>
            <w:tcW w:w="372" w:type="pct"/>
            <w:shd w:val="clear" w:color="000000" w:fill="99B6D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17</w:t>
            </w:r>
          </w:p>
        </w:tc>
        <w:tc>
          <w:tcPr>
            <w:tcW w:w="235" w:type="pct"/>
            <w:shd w:val="clear" w:color="000000" w:fill="A9C1E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21</w:t>
            </w:r>
          </w:p>
        </w:tc>
        <w:tc>
          <w:tcPr>
            <w:tcW w:w="234" w:type="pct"/>
            <w:shd w:val="clear" w:color="000000" w:fill="6592C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w:t>
            </w:r>
          </w:p>
        </w:tc>
        <w:tc>
          <w:tcPr>
            <w:tcW w:w="234" w:type="pct"/>
            <w:shd w:val="clear" w:color="000000" w:fill="FBC7C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57</w:t>
            </w:r>
          </w:p>
        </w:tc>
        <w:tc>
          <w:tcPr>
            <w:tcW w:w="234" w:type="pct"/>
            <w:shd w:val="clear" w:color="000000" w:fill="B0C7E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23</w:t>
            </w:r>
          </w:p>
        </w:tc>
      </w:tr>
      <w:tr w:rsidR="00277582" w:rsidRPr="00DC3433" w:rsidTr="00DC3433">
        <w:trPr>
          <w:trHeight w:val="198"/>
        </w:trPr>
        <w:tc>
          <w:tcPr>
            <w:tcW w:w="234" w:type="pct"/>
            <w:shd w:val="clear" w:color="000000" w:fill="9DB9DD"/>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18</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Akershus Vest</w:t>
            </w:r>
          </w:p>
        </w:tc>
        <w:tc>
          <w:tcPr>
            <w:tcW w:w="234" w:type="pct"/>
            <w:shd w:val="clear" w:color="000000" w:fill="B4C9E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24</w:t>
            </w:r>
          </w:p>
        </w:tc>
        <w:tc>
          <w:tcPr>
            <w:tcW w:w="234" w:type="pct"/>
            <w:shd w:val="clear" w:color="000000" w:fill="FCFCF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42</w:t>
            </w:r>
          </w:p>
        </w:tc>
        <w:tc>
          <w:tcPr>
            <w:tcW w:w="234" w:type="pct"/>
            <w:shd w:val="clear" w:color="000000" w:fill="BCCFE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26</w:t>
            </w:r>
          </w:p>
        </w:tc>
        <w:tc>
          <w:tcPr>
            <w:tcW w:w="236" w:type="pct"/>
            <w:shd w:val="clear" w:color="000000" w:fill="91B0D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15</w:t>
            </w:r>
          </w:p>
        </w:tc>
        <w:tc>
          <w:tcPr>
            <w:tcW w:w="234" w:type="pct"/>
            <w:shd w:val="clear" w:color="000000" w:fill="BCCFE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26</w:t>
            </w:r>
          </w:p>
        </w:tc>
        <w:tc>
          <w:tcPr>
            <w:tcW w:w="234" w:type="pct"/>
            <w:shd w:val="clear" w:color="000000" w:fill="FCF2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45</w:t>
            </w:r>
          </w:p>
        </w:tc>
        <w:tc>
          <w:tcPr>
            <w:tcW w:w="373" w:type="pct"/>
            <w:shd w:val="clear" w:color="000000" w:fill="FCF5F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44</w:t>
            </w:r>
          </w:p>
        </w:tc>
        <w:tc>
          <w:tcPr>
            <w:tcW w:w="234" w:type="pct"/>
            <w:shd w:val="clear" w:color="000000" w:fill="C8D7E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29</w:t>
            </w:r>
          </w:p>
        </w:tc>
        <w:tc>
          <w:tcPr>
            <w:tcW w:w="234" w:type="pct"/>
            <w:shd w:val="clear" w:color="000000" w:fill="FCE7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48</w:t>
            </w:r>
          </w:p>
        </w:tc>
        <w:tc>
          <w:tcPr>
            <w:tcW w:w="372" w:type="pct"/>
            <w:shd w:val="clear" w:color="000000" w:fill="ECF0F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38</w:t>
            </w:r>
          </w:p>
        </w:tc>
        <w:tc>
          <w:tcPr>
            <w:tcW w:w="235" w:type="pct"/>
            <w:shd w:val="clear" w:color="000000" w:fill="FAA6A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66</w:t>
            </w:r>
          </w:p>
        </w:tc>
        <w:tc>
          <w:tcPr>
            <w:tcW w:w="234" w:type="pct"/>
            <w:shd w:val="clear" w:color="000000" w:fill="A9C1E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21</w:t>
            </w:r>
          </w:p>
        </w:tc>
        <w:tc>
          <w:tcPr>
            <w:tcW w:w="234" w:type="pct"/>
            <w:shd w:val="clear" w:color="000000" w:fill="C8D7E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29</w:t>
            </w:r>
          </w:p>
        </w:tc>
        <w:tc>
          <w:tcPr>
            <w:tcW w:w="234" w:type="pct"/>
            <w:shd w:val="clear" w:color="000000" w:fill="E0E8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35</w:t>
            </w:r>
          </w:p>
        </w:tc>
      </w:tr>
      <w:tr w:rsidR="00277582" w:rsidRPr="00DC3433" w:rsidTr="00DC3433">
        <w:trPr>
          <w:trHeight w:val="198"/>
        </w:trPr>
        <w:tc>
          <w:tcPr>
            <w:tcW w:w="234" w:type="pct"/>
            <w:shd w:val="clear" w:color="000000" w:fill="B0C7E4"/>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23</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Øvre Romerike</w:t>
            </w:r>
          </w:p>
        </w:tc>
        <w:tc>
          <w:tcPr>
            <w:tcW w:w="234" w:type="pct"/>
            <w:shd w:val="clear" w:color="000000" w:fill="99B6D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17</w:t>
            </w:r>
          </w:p>
        </w:tc>
        <w:tc>
          <w:tcPr>
            <w:tcW w:w="234" w:type="pct"/>
            <w:shd w:val="clear" w:color="000000" w:fill="9DB9D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18</w:t>
            </w:r>
          </w:p>
        </w:tc>
        <w:tc>
          <w:tcPr>
            <w:tcW w:w="234" w:type="pct"/>
            <w:shd w:val="clear" w:color="000000" w:fill="8DAED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14</w:t>
            </w:r>
          </w:p>
        </w:tc>
        <w:tc>
          <w:tcPr>
            <w:tcW w:w="236" w:type="pct"/>
            <w:shd w:val="clear" w:color="000000" w:fill="ACC4E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22</w:t>
            </w:r>
          </w:p>
        </w:tc>
        <w:tc>
          <w:tcPr>
            <w:tcW w:w="234" w:type="pct"/>
            <w:shd w:val="clear" w:color="000000" w:fill="F97B7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78</w:t>
            </w:r>
          </w:p>
        </w:tc>
        <w:tc>
          <w:tcPr>
            <w:tcW w:w="234" w:type="pct"/>
            <w:shd w:val="clear" w:color="000000" w:fill="FBD5D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53</w:t>
            </w:r>
          </w:p>
        </w:tc>
        <w:tc>
          <w:tcPr>
            <w:tcW w:w="373" w:type="pct"/>
            <w:shd w:val="clear" w:color="000000" w:fill="ECF0F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38</w:t>
            </w:r>
          </w:p>
        </w:tc>
        <w:tc>
          <w:tcPr>
            <w:tcW w:w="234" w:type="pct"/>
            <w:shd w:val="clear" w:color="000000" w:fill="F8F9F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41</w:t>
            </w:r>
          </w:p>
        </w:tc>
        <w:tc>
          <w:tcPr>
            <w:tcW w:w="234" w:type="pct"/>
            <w:shd w:val="clear" w:color="000000" w:fill="FCF2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45</w:t>
            </w:r>
          </w:p>
        </w:tc>
        <w:tc>
          <w:tcPr>
            <w:tcW w:w="372" w:type="pct"/>
            <w:shd w:val="clear" w:color="000000" w:fill="FA959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71</w:t>
            </w:r>
          </w:p>
        </w:tc>
        <w:tc>
          <w:tcPr>
            <w:tcW w:w="235" w:type="pct"/>
            <w:shd w:val="clear" w:color="000000" w:fill="B0C7E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23</w:t>
            </w:r>
          </w:p>
        </w:tc>
        <w:tc>
          <w:tcPr>
            <w:tcW w:w="234" w:type="pct"/>
            <w:shd w:val="clear" w:color="000000" w:fill="85A8D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12</w:t>
            </w:r>
          </w:p>
        </w:tc>
        <w:tc>
          <w:tcPr>
            <w:tcW w:w="234" w:type="pct"/>
            <w:shd w:val="clear" w:color="000000" w:fill="F98D90"/>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73</w:t>
            </w:r>
          </w:p>
        </w:tc>
        <w:tc>
          <w:tcPr>
            <w:tcW w:w="234" w:type="pct"/>
            <w:shd w:val="clear" w:color="000000" w:fill="FCE7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48</w:t>
            </w:r>
          </w:p>
        </w:tc>
      </w:tr>
      <w:tr w:rsidR="00277582" w:rsidRPr="00DC3433" w:rsidTr="00DC3433">
        <w:trPr>
          <w:trHeight w:val="198"/>
        </w:trPr>
        <w:tc>
          <w:tcPr>
            <w:tcW w:w="234" w:type="pct"/>
            <w:shd w:val="clear" w:color="000000" w:fill="B4C9E5"/>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24</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Lillehammerregionen</w:t>
            </w:r>
          </w:p>
        </w:tc>
        <w:tc>
          <w:tcPr>
            <w:tcW w:w="234" w:type="pct"/>
            <w:shd w:val="clear" w:color="000000" w:fill="FA9FA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68</w:t>
            </w:r>
          </w:p>
        </w:tc>
        <w:tc>
          <w:tcPr>
            <w:tcW w:w="234" w:type="pct"/>
            <w:shd w:val="clear" w:color="000000" w:fill="6D97C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w:t>
            </w:r>
          </w:p>
        </w:tc>
        <w:tc>
          <w:tcPr>
            <w:tcW w:w="234" w:type="pct"/>
            <w:shd w:val="clear" w:color="000000" w:fill="FCF9F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43</w:t>
            </w:r>
          </w:p>
        </w:tc>
        <w:tc>
          <w:tcPr>
            <w:tcW w:w="236" w:type="pct"/>
            <w:shd w:val="clear" w:color="000000" w:fill="D0DDE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31</w:t>
            </w:r>
          </w:p>
        </w:tc>
        <w:tc>
          <w:tcPr>
            <w:tcW w:w="234" w:type="pct"/>
            <w:shd w:val="clear" w:color="000000" w:fill="A9C1E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21</w:t>
            </w:r>
          </w:p>
        </w:tc>
        <w:tc>
          <w:tcPr>
            <w:tcW w:w="234" w:type="pct"/>
            <w:shd w:val="clear" w:color="000000" w:fill="5D8CC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w:t>
            </w:r>
          </w:p>
        </w:tc>
        <w:tc>
          <w:tcPr>
            <w:tcW w:w="373" w:type="pct"/>
            <w:shd w:val="clear" w:color="000000" w:fill="719AC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w:t>
            </w:r>
          </w:p>
        </w:tc>
        <w:tc>
          <w:tcPr>
            <w:tcW w:w="234" w:type="pct"/>
            <w:shd w:val="clear" w:color="000000" w:fill="8DAED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14</w:t>
            </w:r>
          </w:p>
        </w:tc>
        <w:tc>
          <w:tcPr>
            <w:tcW w:w="234" w:type="pct"/>
            <w:shd w:val="clear" w:color="000000" w:fill="FCF9F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43</w:t>
            </w:r>
          </w:p>
        </w:tc>
        <w:tc>
          <w:tcPr>
            <w:tcW w:w="372" w:type="pct"/>
            <w:shd w:val="clear" w:color="000000" w:fill="FAA6A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66</w:t>
            </w:r>
          </w:p>
        </w:tc>
        <w:tc>
          <w:tcPr>
            <w:tcW w:w="235" w:type="pct"/>
            <w:shd w:val="clear" w:color="000000" w:fill="F0F3F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39</w:t>
            </w:r>
          </w:p>
        </w:tc>
        <w:tc>
          <w:tcPr>
            <w:tcW w:w="234" w:type="pct"/>
            <w:shd w:val="clear" w:color="000000" w:fill="F4F6F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40</w:t>
            </w:r>
          </w:p>
        </w:tc>
        <w:tc>
          <w:tcPr>
            <w:tcW w:w="234" w:type="pct"/>
            <w:shd w:val="clear" w:color="000000" w:fill="79A0D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9</w:t>
            </w:r>
          </w:p>
        </w:tc>
        <w:tc>
          <w:tcPr>
            <w:tcW w:w="234" w:type="pct"/>
            <w:shd w:val="clear" w:color="000000" w:fill="B8CCE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25</w:t>
            </w:r>
          </w:p>
        </w:tc>
      </w:tr>
      <w:tr w:rsidR="00277582" w:rsidRPr="00DC3433" w:rsidTr="00DC3433">
        <w:trPr>
          <w:trHeight w:val="198"/>
        </w:trPr>
        <w:tc>
          <w:tcPr>
            <w:tcW w:w="234" w:type="pct"/>
            <w:shd w:val="clear" w:color="000000" w:fill="B8CCE7"/>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25</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Follo</w:t>
            </w:r>
          </w:p>
        </w:tc>
        <w:tc>
          <w:tcPr>
            <w:tcW w:w="234" w:type="pct"/>
            <w:shd w:val="clear" w:color="000000" w:fill="E0E8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35</w:t>
            </w:r>
          </w:p>
        </w:tc>
        <w:tc>
          <w:tcPr>
            <w:tcW w:w="234" w:type="pct"/>
            <w:shd w:val="clear" w:color="000000" w:fill="A1BCD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19</w:t>
            </w:r>
          </w:p>
        </w:tc>
        <w:tc>
          <w:tcPr>
            <w:tcW w:w="234" w:type="pct"/>
            <w:shd w:val="clear" w:color="000000" w:fill="B0C7E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23</w:t>
            </w:r>
          </w:p>
        </w:tc>
        <w:tc>
          <w:tcPr>
            <w:tcW w:w="236" w:type="pct"/>
            <w:shd w:val="clear" w:color="000000" w:fill="C0D2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27</w:t>
            </w:r>
          </w:p>
        </w:tc>
        <w:tc>
          <w:tcPr>
            <w:tcW w:w="234" w:type="pct"/>
            <w:shd w:val="clear" w:color="000000" w:fill="DCE5F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34</w:t>
            </w:r>
          </w:p>
        </w:tc>
        <w:tc>
          <w:tcPr>
            <w:tcW w:w="234" w:type="pct"/>
            <w:shd w:val="clear" w:color="000000" w:fill="91B0D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15</w:t>
            </w:r>
          </w:p>
        </w:tc>
        <w:tc>
          <w:tcPr>
            <w:tcW w:w="373" w:type="pct"/>
            <w:shd w:val="clear" w:color="000000" w:fill="E4EBF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36</w:t>
            </w:r>
          </w:p>
        </w:tc>
        <w:tc>
          <w:tcPr>
            <w:tcW w:w="234" w:type="pct"/>
            <w:shd w:val="clear" w:color="000000" w:fill="BCCFE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26</w:t>
            </w:r>
          </w:p>
        </w:tc>
        <w:tc>
          <w:tcPr>
            <w:tcW w:w="234" w:type="pct"/>
            <w:shd w:val="clear" w:color="000000" w:fill="FBD5D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53</w:t>
            </w:r>
          </w:p>
        </w:tc>
        <w:tc>
          <w:tcPr>
            <w:tcW w:w="372" w:type="pct"/>
            <w:shd w:val="clear" w:color="000000" w:fill="FA989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70</w:t>
            </w:r>
          </w:p>
        </w:tc>
        <w:tc>
          <w:tcPr>
            <w:tcW w:w="235" w:type="pct"/>
            <w:shd w:val="clear" w:color="000000" w:fill="FBC0C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59</w:t>
            </w:r>
          </w:p>
        </w:tc>
        <w:tc>
          <w:tcPr>
            <w:tcW w:w="234" w:type="pct"/>
            <w:shd w:val="clear" w:color="000000" w:fill="B8CCE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25</w:t>
            </w:r>
          </w:p>
        </w:tc>
        <w:tc>
          <w:tcPr>
            <w:tcW w:w="234" w:type="pct"/>
            <w:shd w:val="clear" w:color="000000" w:fill="C0D2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27</w:t>
            </w:r>
          </w:p>
        </w:tc>
        <w:tc>
          <w:tcPr>
            <w:tcW w:w="234" w:type="pct"/>
            <w:shd w:val="clear" w:color="000000" w:fill="FCF5F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44</w:t>
            </w:r>
          </w:p>
        </w:tc>
      </w:tr>
      <w:tr w:rsidR="00277582" w:rsidRPr="00DC3433" w:rsidTr="00DC3433">
        <w:trPr>
          <w:trHeight w:val="198"/>
        </w:trPr>
        <w:tc>
          <w:tcPr>
            <w:tcW w:w="234" w:type="pct"/>
            <w:shd w:val="clear" w:color="000000" w:fill="C0D2EA"/>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27</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Nedre Romerike</w:t>
            </w:r>
          </w:p>
        </w:tc>
        <w:tc>
          <w:tcPr>
            <w:tcW w:w="234" w:type="pct"/>
            <w:shd w:val="clear" w:color="000000" w:fill="A9C1E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21</w:t>
            </w:r>
          </w:p>
        </w:tc>
        <w:tc>
          <w:tcPr>
            <w:tcW w:w="234" w:type="pct"/>
            <w:shd w:val="clear" w:color="000000" w:fill="FCF5F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44</w:t>
            </w:r>
          </w:p>
        </w:tc>
        <w:tc>
          <w:tcPr>
            <w:tcW w:w="234" w:type="pct"/>
            <w:shd w:val="clear" w:color="000000" w:fill="ACC4E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22</w:t>
            </w:r>
          </w:p>
        </w:tc>
        <w:tc>
          <w:tcPr>
            <w:tcW w:w="236" w:type="pct"/>
            <w:shd w:val="clear" w:color="000000" w:fill="DCE5F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34</w:t>
            </w:r>
          </w:p>
        </w:tc>
        <w:tc>
          <w:tcPr>
            <w:tcW w:w="234" w:type="pct"/>
            <w:shd w:val="clear" w:color="000000" w:fill="C8D7E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29</w:t>
            </w:r>
          </w:p>
        </w:tc>
        <w:tc>
          <w:tcPr>
            <w:tcW w:w="234" w:type="pct"/>
            <w:shd w:val="clear" w:color="000000" w:fill="B0C7E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23</w:t>
            </w:r>
          </w:p>
        </w:tc>
        <w:tc>
          <w:tcPr>
            <w:tcW w:w="373" w:type="pct"/>
            <w:shd w:val="clear" w:color="000000" w:fill="BCCFE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26</w:t>
            </w:r>
          </w:p>
        </w:tc>
        <w:tc>
          <w:tcPr>
            <w:tcW w:w="234" w:type="pct"/>
            <w:shd w:val="clear" w:color="000000" w:fill="FCE0E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50</w:t>
            </w:r>
          </w:p>
        </w:tc>
        <w:tc>
          <w:tcPr>
            <w:tcW w:w="234" w:type="pct"/>
            <w:shd w:val="clear" w:color="000000" w:fill="C4D5E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28</w:t>
            </w:r>
          </w:p>
        </w:tc>
        <w:tc>
          <w:tcPr>
            <w:tcW w:w="372" w:type="pct"/>
            <w:shd w:val="clear" w:color="000000" w:fill="A9C1E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21</w:t>
            </w:r>
          </w:p>
        </w:tc>
        <w:tc>
          <w:tcPr>
            <w:tcW w:w="235" w:type="pct"/>
            <w:shd w:val="clear" w:color="000000" w:fill="FBC7C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57</w:t>
            </w:r>
          </w:p>
        </w:tc>
        <w:tc>
          <w:tcPr>
            <w:tcW w:w="234" w:type="pct"/>
            <w:shd w:val="clear" w:color="000000" w:fill="C4D5E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28</w:t>
            </w:r>
          </w:p>
        </w:tc>
        <w:tc>
          <w:tcPr>
            <w:tcW w:w="234" w:type="pct"/>
            <w:shd w:val="clear" w:color="000000" w:fill="B4C9E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24</w:t>
            </w:r>
          </w:p>
        </w:tc>
        <w:tc>
          <w:tcPr>
            <w:tcW w:w="234" w:type="pct"/>
            <w:shd w:val="clear" w:color="000000" w:fill="FCFCF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42</w:t>
            </w:r>
          </w:p>
        </w:tc>
      </w:tr>
      <w:tr w:rsidR="00277582" w:rsidRPr="00DC3433" w:rsidTr="00DC3433">
        <w:trPr>
          <w:trHeight w:val="198"/>
        </w:trPr>
        <w:tc>
          <w:tcPr>
            <w:tcW w:w="234" w:type="pct"/>
            <w:shd w:val="clear" w:color="000000" w:fill="C4D5EB"/>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28</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Midt-Buskerud</w:t>
            </w:r>
          </w:p>
        </w:tc>
        <w:tc>
          <w:tcPr>
            <w:tcW w:w="234" w:type="pct"/>
            <w:shd w:val="clear" w:color="000000" w:fill="F4F6F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40</w:t>
            </w:r>
          </w:p>
        </w:tc>
        <w:tc>
          <w:tcPr>
            <w:tcW w:w="234" w:type="pct"/>
            <w:shd w:val="clear" w:color="000000" w:fill="F97B7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78</w:t>
            </w:r>
          </w:p>
        </w:tc>
        <w:tc>
          <w:tcPr>
            <w:tcW w:w="234" w:type="pct"/>
            <w:shd w:val="clear" w:color="000000" w:fill="F8F9F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41</w:t>
            </w:r>
          </w:p>
        </w:tc>
        <w:tc>
          <w:tcPr>
            <w:tcW w:w="236" w:type="pct"/>
            <w:shd w:val="clear" w:color="000000" w:fill="89ABD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13</w:t>
            </w:r>
          </w:p>
        </w:tc>
        <w:tc>
          <w:tcPr>
            <w:tcW w:w="234" w:type="pct"/>
            <w:shd w:val="clear" w:color="000000" w:fill="618FC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w:t>
            </w:r>
          </w:p>
        </w:tc>
        <w:tc>
          <w:tcPr>
            <w:tcW w:w="234" w:type="pct"/>
            <w:shd w:val="clear" w:color="000000" w:fill="F98A8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74</w:t>
            </w:r>
          </w:p>
        </w:tc>
        <w:tc>
          <w:tcPr>
            <w:tcW w:w="373" w:type="pct"/>
            <w:shd w:val="clear" w:color="000000" w:fill="F9717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81</w:t>
            </w:r>
          </w:p>
        </w:tc>
        <w:tc>
          <w:tcPr>
            <w:tcW w:w="234" w:type="pct"/>
            <w:shd w:val="clear" w:color="000000" w:fill="FCEBE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47</w:t>
            </w:r>
          </w:p>
        </w:tc>
        <w:tc>
          <w:tcPr>
            <w:tcW w:w="234" w:type="pct"/>
            <w:shd w:val="clear" w:color="000000" w:fill="FBCED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55</w:t>
            </w:r>
          </w:p>
        </w:tc>
        <w:tc>
          <w:tcPr>
            <w:tcW w:w="372" w:type="pct"/>
            <w:shd w:val="clear" w:color="000000" w:fill="FBB5B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62</w:t>
            </w:r>
          </w:p>
        </w:tc>
        <w:tc>
          <w:tcPr>
            <w:tcW w:w="235" w:type="pct"/>
            <w:shd w:val="clear" w:color="000000" w:fill="FBC3C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58</w:t>
            </w:r>
          </w:p>
        </w:tc>
        <w:tc>
          <w:tcPr>
            <w:tcW w:w="234" w:type="pct"/>
            <w:shd w:val="clear" w:color="000000" w:fill="E0E8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35</w:t>
            </w:r>
          </w:p>
        </w:tc>
        <w:tc>
          <w:tcPr>
            <w:tcW w:w="234" w:type="pct"/>
            <w:shd w:val="clear" w:color="000000" w:fill="759DC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w:t>
            </w:r>
          </w:p>
        </w:tc>
        <w:tc>
          <w:tcPr>
            <w:tcW w:w="234" w:type="pct"/>
            <w:shd w:val="clear" w:color="000000" w:fill="FBD5D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53</w:t>
            </w:r>
          </w:p>
        </w:tc>
      </w:tr>
      <w:tr w:rsidR="00277582" w:rsidRPr="00DC3433" w:rsidTr="00DC3433">
        <w:trPr>
          <w:trHeight w:val="198"/>
        </w:trPr>
        <w:tc>
          <w:tcPr>
            <w:tcW w:w="234" w:type="pct"/>
            <w:shd w:val="clear" w:color="000000" w:fill="C8D7EC"/>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29</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Hallingdal</w:t>
            </w:r>
          </w:p>
        </w:tc>
        <w:tc>
          <w:tcPr>
            <w:tcW w:w="234" w:type="pct"/>
            <w:shd w:val="clear" w:color="000000" w:fill="FCEBE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47</w:t>
            </w:r>
          </w:p>
        </w:tc>
        <w:tc>
          <w:tcPr>
            <w:tcW w:w="234" w:type="pct"/>
            <w:shd w:val="clear" w:color="000000" w:fill="C4D5E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28</w:t>
            </w:r>
          </w:p>
        </w:tc>
        <w:tc>
          <w:tcPr>
            <w:tcW w:w="234" w:type="pct"/>
            <w:shd w:val="clear" w:color="000000" w:fill="A9C1E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21</w:t>
            </w:r>
          </w:p>
        </w:tc>
        <w:tc>
          <w:tcPr>
            <w:tcW w:w="236" w:type="pct"/>
            <w:shd w:val="clear" w:color="000000" w:fill="FCE3E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49</w:t>
            </w:r>
          </w:p>
        </w:tc>
        <w:tc>
          <w:tcPr>
            <w:tcW w:w="234" w:type="pct"/>
            <w:shd w:val="clear" w:color="000000" w:fill="FA959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71</w:t>
            </w:r>
          </w:p>
        </w:tc>
        <w:tc>
          <w:tcPr>
            <w:tcW w:w="234" w:type="pct"/>
            <w:shd w:val="clear" w:color="000000" w:fill="FBB5B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62</w:t>
            </w:r>
          </w:p>
        </w:tc>
        <w:tc>
          <w:tcPr>
            <w:tcW w:w="373" w:type="pct"/>
            <w:shd w:val="clear" w:color="000000" w:fill="F97B7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78</w:t>
            </w:r>
          </w:p>
        </w:tc>
        <w:tc>
          <w:tcPr>
            <w:tcW w:w="234" w:type="pct"/>
            <w:shd w:val="clear" w:color="000000" w:fill="A9C1E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21</w:t>
            </w:r>
          </w:p>
        </w:tc>
        <w:tc>
          <w:tcPr>
            <w:tcW w:w="234" w:type="pct"/>
            <w:shd w:val="clear" w:color="000000" w:fill="5D8CC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w:t>
            </w:r>
          </w:p>
        </w:tc>
        <w:tc>
          <w:tcPr>
            <w:tcW w:w="372" w:type="pct"/>
            <w:shd w:val="clear" w:color="000000" w:fill="6995C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w:t>
            </w:r>
          </w:p>
        </w:tc>
        <w:tc>
          <w:tcPr>
            <w:tcW w:w="235" w:type="pct"/>
            <w:shd w:val="clear" w:color="000000" w:fill="759DC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w:t>
            </w:r>
          </w:p>
        </w:tc>
        <w:tc>
          <w:tcPr>
            <w:tcW w:w="234" w:type="pct"/>
            <w:shd w:val="clear" w:color="000000" w:fill="ECF0F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38</w:t>
            </w:r>
          </w:p>
        </w:tc>
        <w:tc>
          <w:tcPr>
            <w:tcW w:w="234" w:type="pct"/>
            <w:shd w:val="clear" w:color="000000" w:fill="F97F8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77</w:t>
            </w:r>
          </w:p>
        </w:tc>
        <w:tc>
          <w:tcPr>
            <w:tcW w:w="234" w:type="pct"/>
            <w:shd w:val="clear" w:color="000000" w:fill="6592C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w:t>
            </w:r>
          </w:p>
        </w:tc>
      </w:tr>
      <w:tr w:rsidR="00277582" w:rsidRPr="00DC3433" w:rsidTr="00DC3433">
        <w:trPr>
          <w:trHeight w:val="198"/>
        </w:trPr>
        <w:tc>
          <w:tcPr>
            <w:tcW w:w="234" w:type="pct"/>
            <w:shd w:val="clear" w:color="000000" w:fill="CCDAEE"/>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30</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Oslo</w:t>
            </w:r>
          </w:p>
        </w:tc>
        <w:tc>
          <w:tcPr>
            <w:tcW w:w="234" w:type="pct"/>
            <w:shd w:val="clear" w:color="000000" w:fill="E8EEF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37</w:t>
            </w:r>
          </w:p>
        </w:tc>
        <w:tc>
          <w:tcPr>
            <w:tcW w:w="234" w:type="pct"/>
            <w:shd w:val="clear" w:color="000000" w:fill="C0D2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27</w:t>
            </w:r>
          </w:p>
        </w:tc>
        <w:tc>
          <w:tcPr>
            <w:tcW w:w="234" w:type="pct"/>
            <w:shd w:val="clear" w:color="000000" w:fill="D8E2F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33</w:t>
            </w:r>
          </w:p>
        </w:tc>
        <w:tc>
          <w:tcPr>
            <w:tcW w:w="236" w:type="pct"/>
            <w:shd w:val="clear" w:color="000000" w:fill="C4D5E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28</w:t>
            </w:r>
          </w:p>
        </w:tc>
        <w:tc>
          <w:tcPr>
            <w:tcW w:w="234" w:type="pct"/>
            <w:shd w:val="clear" w:color="000000" w:fill="FBCAC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56</w:t>
            </w:r>
          </w:p>
        </w:tc>
        <w:tc>
          <w:tcPr>
            <w:tcW w:w="234" w:type="pct"/>
            <w:shd w:val="clear" w:color="000000" w:fill="E0E8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35</w:t>
            </w:r>
          </w:p>
        </w:tc>
        <w:tc>
          <w:tcPr>
            <w:tcW w:w="373" w:type="pct"/>
            <w:shd w:val="clear" w:color="000000" w:fill="FCE0E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50</w:t>
            </w:r>
          </w:p>
        </w:tc>
        <w:tc>
          <w:tcPr>
            <w:tcW w:w="234" w:type="pct"/>
            <w:shd w:val="clear" w:color="000000" w:fill="C0D2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27</w:t>
            </w:r>
          </w:p>
        </w:tc>
        <w:tc>
          <w:tcPr>
            <w:tcW w:w="234" w:type="pct"/>
            <w:shd w:val="clear" w:color="000000" w:fill="F0F3F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39</w:t>
            </w:r>
          </w:p>
        </w:tc>
        <w:tc>
          <w:tcPr>
            <w:tcW w:w="372" w:type="pct"/>
            <w:shd w:val="clear" w:color="000000" w:fill="DCE5F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34</w:t>
            </w:r>
          </w:p>
        </w:tc>
        <w:tc>
          <w:tcPr>
            <w:tcW w:w="235" w:type="pct"/>
            <w:shd w:val="clear" w:color="000000" w:fill="FCE7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48</w:t>
            </w:r>
          </w:p>
        </w:tc>
        <w:tc>
          <w:tcPr>
            <w:tcW w:w="234" w:type="pct"/>
            <w:shd w:val="clear" w:color="000000" w:fill="D0DDE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31</w:t>
            </w:r>
          </w:p>
        </w:tc>
        <w:tc>
          <w:tcPr>
            <w:tcW w:w="234" w:type="pct"/>
            <w:shd w:val="clear" w:color="000000" w:fill="FBD1D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54</w:t>
            </w:r>
          </w:p>
        </w:tc>
        <w:tc>
          <w:tcPr>
            <w:tcW w:w="234" w:type="pct"/>
            <w:shd w:val="clear" w:color="000000" w:fill="C0D2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27</w:t>
            </w:r>
          </w:p>
        </w:tc>
      </w:tr>
      <w:tr w:rsidR="00277582" w:rsidRPr="00DC3433" w:rsidTr="00DC3433">
        <w:trPr>
          <w:trHeight w:val="198"/>
        </w:trPr>
        <w:tc>
          <w:tcPr>
            <w:tcW w:w="234" w:type="pct"/>
            <w:shd w:val="clear" w:color="000000" w:fill="D8E2F2"/>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33</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Kongsberg/Numedal</w:t>
            </w:r>
          </w:p>
        </w:tc>
        <w:tc>
          <w:tcPr>
            <w:tcW w:w="234" w:type="pct"/>
            <w:shd w:val="clear" w:color="000000" w:fill="91B0D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15</w:t>
            </w:r>
          </w:p>
        </w:tc>
        <w:tc>
          <w:tcPr>
            <w:tcW w:w="234" w:type="pct"/>
            <w:shd w:val="clear" w:color="000000" w:fill="F9717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81</w:t>
            </w:r>
          </w:p>
        </w:tc>
        <w:tc>
          <w:tcPr>
            <w:tcW w:w="234" w:type="pct"/>
            <w:shd w:val="clear" w:color="000000" w:fill="FCF2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45</w:t>
            </w:r>
          </w:p>
        </w:tc>
        <w:tc>
          <w:tcPr>
            <w:tcW w:w="236" w:type="pct"/>
            <w:shd w:val="clear" w:color="000000" w:fill="618FC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w:t>
            </w:r>
          </w:p>
        </w:tc>
        <w:tc>
          <w:tcPr>
            <w:tcW w:w="234" w:type="pct"/>
            <w:shd w:val="clear" w:color="000000" w:fill="F0F3F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39</w:t>
            </w:r>
          </w:p>
        </w:tc>
        <w:tc>
          <w:tcPr>
            <w:tcW w:w="234" w:type="pct"/>
            <w:shd w:val="clear" w:color="000000" w:fill="F9838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76</w:t>
            </w:r>
          </w:p>
        </w:tc>
        <w:tc>
          <w:tcPr>
            <w:tcW w:w="373" w:type="pct"/>
            <w:shd w:val="clear" w:color="000000" w:fill="F8696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83</w:t>
            </w:r>
          </w:p>
        </w:tc>
        <w:tc>
          <w:tcPr>
            <w:tcW w:w="234" w:type="pct"/>
            <w:shd w:val="clear" w:color="000000" w:fill="FCD9D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52</w:t>
            </w:r>
          </w:p>
        </w:tc>
        <w:tc>
          <w:tcPr>
            <w:tcW w:w="234" w:type="pct"/>
            <w:shd w:val="clear" w:color="000000" w:fill="FA989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70</w:t>
            </w:r>
          </w:p>
        </w:tc>
        <w:tc>
          <w:tcPr>
            <w:tcW w:w="372" w:type="pct"/>
            <w:shd w:val="clear" w:color="000000" w:fill="FCE0E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50</w:t>
            </w:r>
          </w:p>
        </w:tc>
        <w:tc>
          <w:tcPr>
            <w:tcW w:w="235" w:type="pct"/>
            <w:shd w:val="clear" w:color="000000" w:fill="FAA3A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67</w:t>
            </w:r>
          </w:p>
        </w:tc>
        <w:tc>
          <w:tcPr>
            <w:tcW w:w="234" w:type="pct"/>
            <w:shd w:val="clear" w:color="000000" w:fill="ACC4E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22</w:t>
            </w:r>
          </w:p>
        </w:tc>
        <w:tc>
          <w:tcPr>
            <w:tcW w:w="234" w:type="pct"/>
            <w:shd w:val="clear" w:color="000000" w:fill="FBC0C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59</w:t>
            </w:r>
          </w:p>
        </w:tc>
        <w:tc>
          <w:tcPr>
            <w:tcW w:w="234" w:type="pct"/>
            <w:shd w:val="clear" w:color="000000" w:fill="FAB1B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63</w:t>
            </w:r>
          </w:p>
        </w:tc>
      </w:tr>
      <w:tr w:rsidR="00277582" w:rsidRPr="00DC3433" w:rsidTr="00DC3433">
        <w:trPr>
          <w:trHeight w:val="198"/>
        </w:trPr>
        <w:tc>
          <w:tcPr>
            <w:tcW w:w="234" w:type="pct"/>
            <w:shd w:val="clear" w:color="000000" w:fill="E4EBF6"/>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36</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proofErr w:type="spellStart"/>
            <w:r w:rsidRPr="00DC3433">
              <w:rPr>
                <w:rFonts w:ascii="Arial" w:eastAsia="Times New Roman" w:hAnsi="Arial" w:cs="Arial"/>
                <w:color w:val="000000"/>
                <w:sz w:val="17"/>
                <w:szCs w:val="17"/>
                <w:lang w:eastAsia="nb-NO"/>
              </w:rPr>
              <w:t>Tønsbergregionen</w:t>
            </w:r>
            <w:proofErr w:type="spellEnd"/>
          </w:p>
        </w:tc>
        <w:tc>
          <w:tcPr>
            <w:tcW w:w="234" w:type="pct"/>
            <w:shd w:val="clear" w:color="000000" w:fill="D4E0F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32</w:t>
            </w:r>
          </w:p>
        </w:tc>
        <w:tc>
          <w:tcPr>
            <w:tcW w:w="234" w:type="pct"/>
            <w:shd w:val="clear" w:color="000000" w:fill="FCEEF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46</w:t>
            </w:r>
          </w:p>
        </w:tc>
        <w:tc>
          <w:tcPr>
            <w:tcW w:w="234" w:type="pct"/>
            <w:shd w:val="clear" w:color="000000" w:fill="FCE3E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49</w:t>
            </w:r>
          </w:p>
        </w:tc>
        <w:tc>
          <w:tcPr>
            <w:tcW w:w="236" w:type="pct"/>
            <w:shd w:val="clear" w:color="000000" w:fill="A9C1E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21</w:t>
            </w:r>
          </w:p>
        </w:tc>
        <w:tc>
          <w:tcPr>
            <w:tcW w:w="234" w:type="pct"/>
            <w:shd w:val="clear" w:color="000000" w:fill="FCEEF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46</w:t>
            </w:r>
          </w:p>
        </w:tc>
        <w:tc>
          <w:tcPr>
            <w:tcW w:w="234" w:type="pct"/>
            <w:shd w:val="clear" w:color="000000" w:fill="D0DDE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31</w:t>
            </w:r>
          </w:p>
        </w:tc>
        <w:tc>
          <w:tcPr>
            <w:tcW w:w="373" w:type="pct"/>
            <w:shd w:val="clear" w:color="000000" w:fill="FBD1D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54</w:t>
            </w:r>
          </w:p>
        </w:tc>
        <w:tc>
          <w:tcPr>
            <w:tcW w:w="234" w:type="pct"/>
            <w:shd w:val="clear" w:color="000000" w:fill="CCDAE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30</w:t>
            </w:r>
          </w:p>
        </w:tc>
        <w:tc>
          <w:tcPr>
            <w:tcW w:w="234" w:type="pct"/>
            <w:shd w:val="clear" w:color="000000" w:fill="FCE0E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50</w:t>
            </w:r>
          </w:p>
        </w:tc>
        <w:tc>
          <w:tcPr>
            <w:tcW w:w="372" w:type="pct"/>
            <w:shd w:val="clear" w:color="000000" w:fill="A5BEE0"/>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20</w:t>
            </w:r>
          </w:p>
        </w:tc>
        <w:tc>
          <w:tcPr>
            <w:tcW w:w="235" w:type="pct"/>
            <w:shd w:val="clear" w:color="000000" w:fill="E0E8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35</w:t>
            </w:r>
          </w:p>
        </w:tc>
        <w:tc>
          <w:tcPr>
            <w:tcW w:w="234" w:type="pct"/>
            <w:shd w:val="clear" w:color="000000" w:fill="E4EBF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36</w:t>
            </w:r>
          </w:p>
        </w:tc>
        <w:tc>
          <w:tcPr>
            <w:tcW w:w="234" w:type="pct"/>
            <w:shd w:val="clear" w:color="000000" w:fill="FCE7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48</w:t>
            </w:r>
          </w:p>
        </w:tc>
        <w:tc>
          <w:tcPr>
            <w:tcW w:w="234" w:type="pct"/>
            <w:shd w:val="clear" w:color="000000" w:fill="C4D5E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28</w:t>
            </w:r>
          </w:p>
        </w:tc>
      </w:tr>
      <w:tr w:rsidR="00277582" w:rsidRPr="00DC3433" w:rsidTr="00DC3433">
        <w:trPr>
          <w:trHeight w:val="198"/>
        </w:trPr>
        <w:tc>
          <w:tcPr>
            <w:tcW w:w="234" w:type="pct"/>
            <w:shd w:val="clear" w:color="000000" w:fill="E8EEF8"/>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37</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Midt-Telemark</w:t>
            </w:r>
          </w:p>
        </w:tc>
        <w:tc>
          <w:tcPr>
            <w:tcW w:w="234" w:type="pct"/>
            <w:shd w:val="clear" w:color="000000" w:fill="6D97C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w:t>
            </w:r>
          </w:p>
        </w:tc>
        <w:tc>
          <w:tcPr>
            <w:tcW w:w="234" w:type="pct"/>
            <w:shd w:val="clear" w:color="000000" w:fill="FA959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71</w:t>
            </w:r>
          </w:p>
        </w:tc>
        <w:tc>
          <w:tcPr>
            <w:tcW w:w="234" w:type="pct"/>
            <w:shd w:val="clear" w:color="000000" w:fill="D0DDE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31</w:t>
            </w:r>
          </w:p>
        </w:tc>
        <w:tc>
          <w:tcPr>
            <w:tcW w:w="236" w:type="pct"/>
            <w:shd w:val="clear" w:color="000000" w:fill="B0C7E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23</w:t>
            </w:r>
          </w:p>
        </w:tc>
        <w:tc>
          <w:tcPr>
            <w:tcW w:w="234" w:type="pct"/>
            <w:shd w:val="clear" w:color="000000" w:fill="85A8D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12</w:t>
            </w:r>
          </w:p>
        </w:tc>
        <w:tc>
          <w:tcPr>
            <w:tcW w:w="234" w:type="pct"/>
            <w:shd w:val="clear" w:color="000000" w:fill="FBD1D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54</w:t>
            </w:r>
          </w:p>
        </w:tc>
        <w:tc>
          <w:tcPr>
            <w:tcW w:w="373" w:type="pct"/>
            <w:shd w:val="clear" w:color="000000" w:fill="FAA3A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67</w:t>
            </w:r>
          </w:p>
        </w:tc>
        <w:tc>
          <w:tcPr>
            <w:tcW w:w="234" w:type="pct"/>
            <w:shd w:val="clear" w:color="000000" w:fill="FBCAC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56</w:t>
            </w:r>
          </w:p>
        </w:tc>
        <w:tc>
          <w:tcPr>
            <w:tcW w:w="234" w:type="pct"/>
            <w:shd w:val="clear" w:color="000000" w:fill="F8696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83</w:t>
            </w:r>
          </w:p>
        </w:tc>
        <w:tc>
          <w:tcPr>
            <w:tcW w:w="372" w:type="pct"/>
            <w:shd w:val="clear" w:color="000000" w:fill="F97F8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77</w:t>
            </w:r>
          </w:p>
        </w:tc>
        <w:tc>
          <w:tcPr>
            <w:tcW w:w="235" w:type="pct"/>
            <w:shd w:val="clear" w:color="000000" w:fill="F97F8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77</w:t>
            </w:r>
          </w:p>
        </w:tc>
        <w:tc>
          <w:tcPr>
            <w:tcW w:w="234" w:type="pct"/>
            <w:shd w:val="clear" w:color="000000" w:fill="B0C7E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23</w:t>
            </w:r>
          </w:p>
        </w:tc>
        <w:tc>
          <w:tcPr>
            <w:tcW w:w="234" w:type="pct"/>
            <w:shd w:val="clear" w:color="000000" w:fill="B8CCE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25</w:t>
            </w:r>
          </w:p>
        </w:tc>
        <w:tc>
          <w:tcPr>
            <w:tcW w:w="234" w:type="pct"/>
            <w:shd w:val="clear" w:color="000000" w:fill="F9747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80</w:t>
            </w:r>
          </w:p>
        </w:tc>
      </w:tr>
      <w:tr w:rsidR="00277582" w:rsidRPr="00DC3433" w:rsidTr="00DC3433">
        <w:trPr>
          <w:trHeight w:val="198"/>
        </w:trPr>
        <w:tc>
          <w:tcPr>
            <w:tcW w:w="234" w:type="pct"/>
            <w:shd w:val="clear" w:color="000000" w:fill="ECF0F9"/>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38</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Sandefjord/Larvik</w:t>
            </w:r>
          </w:p>
        </w:tc>
        <w:tc>
          <w:tcPr>
            <w:tcW w:w="234" w:type="pct"/>
            <w:shd w:val="clear" w:color="000000" w:fill="D0DDE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31</w:t>
            </w:r>
          </w:p>
        </w:tc>
        <w:tc>
          <w:tcPr>
            <w:tcW w:w="234" w:type="pct"/>
            <w:shd w:val="clear" w:color="000000" w:fill="C8D7E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29</w:t>
            </w:r>
          </w:p>
        </w:tc>
        <w:tc>
          <w:tcPr>
            <w:tcW w:w="234" w:type="pct"/>
            <w:shd w:val="clear" w:color="000000" w:fill="A1BCD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19</w:t>
            </w:r>
          </w:p>
        </w:tc>
        <w:tc>
          <w:tcPr>
            <w:tcW w:w="236" w:type="pct"/>
            <w:shd w:val="clear" w:color="000000" w:fill="FCDCD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51</w:t>
            </w:r>
          </w:p>
        </w:tc>
        <w:tc>
          <w:tcPr>
            <w:tcW w:w="234" w:type="pct"/>
            <w:shd w:val="clear" w:color="000000" w:fill="FAAEB0"/>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64</w:t>
            </w:r>
          </w:p>
        </w:tc>
        <w:tc>
          <w:tcPr>
            <w:tcW w:w="234" w:type="pct"/>
            <w:shd w:val="clear" w:color="000000" w:fill="F9717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81</w:t>
            </w:r>
          </w:p>
        </w:tc>
        <w:tc>
          <w:tcPr>
            <w:tcW w:w="373" w:type="pct"/>
            <w:shd w:val="clear" w:color="000000" w:fill="99B6D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17</w:t>
            </w:r>
          </w:p>
        </w:tc>
        <w:tc>
          <w:tcPr>
            <w:tcW w:w="234" w:type="pct"/>
            <w:shd w:val="clear" w:color="000000" w:fill="ECF0F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38</w:t>
            </w:r>
          </w:p>
        </w:tc>
        <w:tc>
          <w:tcPr>
            <w:tcW w:w="234" w:type="pct"/>
            <w:shd w:val="clear" w:color="000000" w:fill="FCDCD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51</w:t>
            </w:r>
          </w:p>
        </w:tc>
        <w:tc>
          <w:tcPr>
            <w:tcW w:w="372" w:type="pct"/>
            <w:shd w:val="clear" w:color="000000" w:fill="B0C7E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23</w:t>
            </w:r>
          </w:p>
        </w:tc>
        <w:tc>
          <w:tcPr>
            <w:tcW w:w="235" w:type="pct"/>
            <w:shd w:val="clear" w:color="000000" w:fill="FBD5D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53</w:t>
            </w:r>
          </w:p>
        </w:tc>
        <w:tc>
          <w:tcPr>
            <w:tcW w:w="234" w:type="pct"/>
            <w:shd w:val="clear" w:color="000000" w:fill="CCDAE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30</w:t>
            </w:r>
          </w:p>
        </w:tc>
        <w:tc>
          <w:tcPr>
            <w:tcW w:w="234" w:type="pct"/>
            <w:shd w:val="clear" w:color="000000" w:fill="FBB8B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61</w:t>
            </w:r>
          </w:p>
        </w:tc>
        <w:tc>
          <w:tcPr>
            <w:tcW w:w="234" w:type="pct"/>
            <w:shd w:val="clear" w:color="000000" w:fill="F4F6F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40</w:t>
            </w:r>
          </w:p>
        </w:tc>
      </w:tr>
      <w:tr w:rsidR="00277582" w:rsidRPr="00DC3433" w:rsidTr="00DC3433">
        <w:trPr>
          <w:trHeight w:val="198"/>
        </w:trPr>
        <w:tc>
          <w:tcPr>
            <w:tcW w:w="234" w:type="pct"/>
            <w:shd w:val="clear" w:color="000000" w:fill="F4F6FC"/>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40</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Indre Østfold</w:t>
            </w:r>
          </w:p>
        </w:tc>
        <w:tc>
          <w:tcPr>
            <w:tcW w:w="234" w:type="pct"/>
            <w:shd w:val="clear" w:color="000000" w:fill="DCE5F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34</w:t>
            </w:r>
          </w:p>
        </w:tc>
        <w:tc>
          <w:tcPr>
            <w:tcW w:w="234" w:type="pct"/>
            <w:shd w:val="clear" w:color="000000" w:fill="FBD1D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54</w:t>
            </w:r>
          </w:p>
        </w:tc>
        <w:tc>
          <w:tcPr>
            <w:tcW w:w="234" w:type="pct"/>
            <w:shd w:val="clear" w:color="000000" w:fill="ECF0F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38</w:t>
            </w:r>
          </w:p>
        </w:tc>
        <w:tc>
          <w:tcPr>
            <w:tcW w:w="236" w:type="pct"/>
            <w:shd w:val="clear" w:color="000000" w:fill="FCE7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48</w:t>
            </w:r>
          </w:p>
        </w:tc>
        <w:tc>
          <w:tcPr>
            <w:tcW w:w="234" w:type="pct"/>
            <w:shd w:val="clear" w:color="000000" w:fill="FCD9D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52</w:t>
            </w:r>
          </w:p>
        </w:tc>
        <w:tc>
          <w:tcPr>
            <w:tcW w:w="234" w:type="pct"/>
            <w:shd w:val="clear" w:color="000000" w:fill="FCFCF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42</w:t>
            </w:r>
          </w:p>
        </w:tc>
        <w:tc>
          <w:tcPr>
            <w:tcW w:w="373" w:type="pct"/>
            <w:shd w:val="clear" w:color="000000" w:fill="FA959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71</w:t>
            </w:r>
          </w:p>
        </w:tc>
        <w:tc>
          <w:tcPr>
            <w:tcW w:w="234" w:type="pct"/>
            <w:shd w:val="clear" w:color="000000" w:fill="95B3D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16</w:t>
            </w:r>
          </w:p>
        </w:tc>
        <w:tc>
          <w:tcPr>
            <w:tcW w:w="234" w:type="pct"/>
            <w:shd w:val="clear" w:color="000000" w:fill="89ABD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13</w:t>
            </w:r>
          </w:p>
        </w:tc>
        <w:tc>
          <w:tcPr>
            <w:tcW w:w="372" w:type="pct"/>
            <w:shd w:val="clear" w:color="000000" w:fill="BCCFE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26</w:t>
            </w:r>
          </w:p>
        </w:tc>
        <w:tc>
          <w:tcPr>
            <w:tcW w:w="235" w:type="pct"/>
            <w:shd w:val="clear" w:color="000000" w:fill="B4C9E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24</w:t>
            </w:r>
          </w:p>
        </w:tc>
        <w:tc>
          <w:tcPr>
            <w:tcW w:w="234" w:type="pct"/>
            <w:shd w:val="clear" w:color="000000" w:fill="FCFCF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42</w:t>
            </w:r>
          </w:p>
        </w:tc>
        <w:tc>
          <w:tcPr>
            <w:tcW w:w="234" w:type="pct"/>
            <w:shd w:val="clear" w:color="000000" w:fill="FAAAA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65</w:t>
            </w:r>
          </w:p>
        </w:tc>
        <w:tc>
          <w:tcPr>
            <w:tcW w:w="234" w:type="pct"/>
            <w:shd w:val="clear" w:color="000000" w:fill="95B3D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16</w:t>
            </w:r>
          </w:p>
        </w:tc>
      </w:tr>
      <w:tr w:rsidR="00277582" w:rsidRPr="00DC3433" w:rsidTr="00DC3433">
        <w:trPr>
          <w:trHeight w:val="198"/>
        </w:trPr>
        <w:tc>
          <w:tcPr>
            <w:tcW w:w="234" w:type="pct"/>
            <w:shd w:val="clear" w:color="000000" w:fill="FCF9FC"/>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43</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proofErr w:type="spellStart"/>
            <w:r w:rsidRPr="00DC3433">
              <w:rPr>
                <w:rFonts w:ascii="Arial" w:eastAsia="Times New Roman" w:hAnsi="Arial" w:cs="Arial"/>
                <w:color w:val="000000"/>
                <w:sz w:val="17"/>
                <w:szCs w:val="17"/>
                <w:lang w:eastAsia="nb-NO"/>
              </w:rPr>
              <w:t>Mosseregionen</w:t>
            </w:r>
            <w:proofErr w:type="spellEnd"/>
          </w:p>
        </w:tc>
        <w:tc>
          <w:tcPr>
            <w:tcW w:w="234" w:type="pct"/>
            <w:shd w:val="clear" w:color="000000" w:fill="FCE3E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49</w:t>
            </w:r>
          </w:p>
        </w:tc>
        <w:tc>
          <w:tcPr>
            <w:tcW w:w="234" w:type="pct"/>
            <w:shd w:val="clear" w:color="000000" w:fill="CCDAE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30</w:t>
            </w:r>
          </w:p>
        </w:tc>
        <w:tc>
          <w:tcPr>
            <w:tcW w:w="234" w:type="pct"/>
            <w:shd w:val="clear" w:color="000000" w:fill="D4E0F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32</w:t>
            </w:r>
          </w:p>
        </w:tc>
        <w:tc>
          <w:tcPr>
            <w:tcW w:w="236" w:type="pct"/>
            <w:shd w:val="clear" w:color="000000" w:fill="B8CCE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25</w:t>
            </w:r>
          </w:p>
        </w:tc>
        <w:tc>
          <w:tcPr>
            <w:tcW w:w="234" w:type="pct"/>
            <w:shd w:val="clear" w:color="000000" w:fill="FAAAA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65</w:t>
            </w:r>
          </w:p>
        </w:tc>
        <w:tc>
          <w:tcPr>
            <w:tcW w:w="234" w:type="pct"/>
            <w:shd w:val="clear" w:color="000000" w:fill="F9787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79</w:t>
            </w:r>
          </w:p>
        </w:tc>
        <w:tc>
          <w:tcPr>
            <w:tcW w:w="373" w:type="pct"/>
            <w:shd w:val="clear" w:color="000000" w:fill="FCF2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45</w:t>
            </w:r>
          </w:p>
        </w:tc>
        <w:tc>
          <w:tcPr>
            <w:tcW w:w="234" w:type="pct"/>
            <w:shd w:val="clear" w:color="000000" w:fill="B0C7E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23</w:t>
            </w:r>
          </w:p>
        </w:tc>
        <w:tc>
          <w:tcPr>
            <w:tcW w:w="234" w:type="pct"/>
            <w:shd w:val="clear" w:color="000000" w:fill="FBBCB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60</w:t>
            </w:r>
          </w:p>
        </w:tc>
        <w:tc>
          <w:tcPr>
            <w:tcW w:w="372" w:type="pct"/>
            <w:shd w:val="clear" w:color="000000" w:fill="FBC0C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59</w:t>
            </w:r>
          </w:p>
        </w:tc>
        <w:tc>
          <w:tcPr>
            <w:tcW w:w="235" w:type="pct"/>
            <w:shd w:val="clear" w:color="000000" w:fill="FCE0E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50</w:t>
            </w:r>
          </w:p>
        </w:tc>
        <w:tc>
          <w:tcPr>
            <w:tcW w:w="234" w:type="pct"/>
            <w:shd w:val="clear" w:color="000000" w:fill="D8E2F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33</w:t>
            </w:r>
          </w:p>
        </w:tc>
        <w:tc>
          <w:tcPr>
            <w:tcW w:w="234" w:type="pct"/>
            <w:shd w:val="clear" w:color="000000" w:fill="FA989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70</w:t>
            </w:r>
          </w:p>
        </w:tc>
        <w:tc>
          <w:tcPr>
            <w:tcW w:w="234" w:type="pct"/>
            <w:shd w:val="clear" w:color="000000" w:fill="F8F9F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41</w:t>
            </w:r>
          </w:p>
        </w:tc>
      </w:tr>
      <w:tr w:rsidR="00277582" w:rsidRPr="00DC3433" w:rsidTr="00DC3433">
        <w:trPr>
          <w:trHeight w:val="198"/>
        </w:trPr>
        <w:tc>
          <w:tcPr>
            <w:tcW w:w="234" w:type="pct"/>
            <w:shd w:val="clear" w:color="000000" w:fill="FCE0E3"/>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50</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Grenland</w:t>
            </w:r>
          </w:p>
        </w:tc>
        <w:tc>
          <w:tcPr>
            <w:tcW w:w="234" w:type="pct"/>
            <w:shd w:val="clear" w:color="000000" w:fill="ECF0F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38</w:t>
            </w:r>
          </w:p>
        </w:tc>
        <w:tc>
          <w:tcPr>
            <w:tcW w:w="234" w:type="pct"/>
            <w:shd w:val="clear" w:color="000000" w:fill="FBD5D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53</w:t>
            </w:r>
          </w:p>
        </w:tc>
        <w:tc>
          <w:tcPr>
            <w:tcW w:w="234" w:type="pct"/>
            <w:shd w:val="clear" w:color="000000" w:fill="FBC3C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58</w:t>
            </w:r>
          </w:p>
        </w:tc>
        <w:tc>
          <w:tcPr>
            <w:tcW w:w="236" w:type="pct"/>
            <w:shd w:val="clear" w:color="000000" w:fill="D8E2F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33</w:t>
            </w:r>
          </w:p>
        </w:tc>
        <w:tc>
          <w:tcPr>
            <w:tcW w:w="234" w:type="pct"/>
            <w:shd w:val="clear" w:color="000000" w:fill="D4E0F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32</w:t>
            </w:r>
          </w:p>
        </w:tc>
        <w:tc>
          <w:tcPr>
            <w:tcW w:w="234" w:type="pct"/>
            <w:shd w:val="clear" w:color="000000" w:fill="FCF5F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44</w:t>
            </w:r>
          </w:p>
        </w:tc>
        <w:tc>
          <w:tcPr>
            <w:tcW w:w="373" w:type="pct"/>
            <w:shd w:val="clear" w:color="000000" w:fill="FCD9D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52</w:t>
            </w:r>
          </w:p>
        </w:tc>
        <w:tc>
          <w:tcPr>
            <w:tcW w:w="234" w:type="pct"/>
            <w:shd w:val="clear" w:color="000000" w:fill="FCE7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48</w:t>
            </w:r>
          </w:p>
        </w:tc>
        <w:tc>
          <w:tcPr>
            <w:tcW w:w="234" w:type="pct"/>
            <w:shd w:val="clear" w:color="000000" w:fill="C0D2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27</w:t>
            </w:r>
          </w:p>
        </w:tc>
        <w:tc>
          <w:tcPr>
            <w:tcW w:w="372" w:type="pct"/>
            <w:shd w:val="clear" w:color="000000" w:fill="F4F6F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40</w:t>
            </w:r>
          </w:p>
        </w:tc>
        <w:tc>
          <w:tcPr>
            <w:tcW w:w="235" w:type="pct"/>
            <w:shd w:val="clear" w:color="000000" w:fill="C0D2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27</w:t>
            </w:r>
          </w:p>
        </w:tc>
        <w:tc>
          <w:tcPr>
            <w:tcW w:w="234" w:type="pct"/>
            <w:shd w:val="clear" w:color="000000" w:fill="FCEBE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47</w:t>
            </w:r>
          </w:p>
        </w:tc>
        <w:tc>
          <w:tcPr>
            <w:tcW w:w="234" w:type="pct"/>
            <w:shd w:val="clear" w:color="000000" w:fill="E0E8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35</w:t>
            </w:r>
          </w:p>
        </w:tc>
        <w:tc>
          <w:tcPr>
            <w:tcW w:w="234" w:type="pct"/>
            <w:shd w:val="clear" w:color="000000" w:fill="FCF9F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43</w:t>
            </w:r>
          </w:p>
        </w:tc>
      </w:tr>
      <w:tr w:rsidR="00277582" w:rsidRPr="00DC3433" w:rsidTr="00DC3433">
        <w:trPr>
          <w:trHeight w:val="198"/>
        </w:trPr>
        <w:tc>
          <w:tcPr>
            <w:tcW w:w="234" w:type="pct"/>
            <w:shd w:val="clear" w:color="000000" w:fill="FCDCDF"/>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51</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proofErr w:type="spellStart"/>
            <w:r w:rsidRPr="00DC3433">
              <w:rPr>
                <w:rFonts w:ascii="Arial" w:eastAsia="Times New Roman" w:hAnsi="Arial" w:cs="Arial"/>
                <w:color w:val="000000"/>
                <w:sz w:val="17"/>
                <w:szCs w:val="17"/>
                <w:lang w:eastAsia="nb-NO"/>
              </w:rPr>
              <w:t>Midt-Gudbrandsdal</w:t>
            </w:r>
            <w:proofErr w:type="spellEnd"/>
          </w:p>
        </w:tc>
        <w:tc>
          <w:tcPr>
            <w:tcW w:w="234" w:type="pct"/>
            <w:shd w:val="clear" w:color="000000" w:fill="FAAAA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65</w:t>
            </w:r>
          </w:p>
        </w:tc>
        <w:tc>
          <w:tcPr>
            <w:tcW w:w="234" w:type="pct"/>
            <w:shd w:val="clear" w:color="000000" w:fill="5D8CC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w:t>
            </w:r>
          </w:p>
        </w:tc>
        <w:tc>
          <w:tcPr>
            <w:tcW w:w="234" w:type="pct"/>
            <w:shd w:val="clear" w:color="000000" w:fill="E0E8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35</w:t>
            </w:r>
          </w:p>
        </w:tc>
        <w:tc>
          <w:tcPr>
            <w:tcW w:w="236" w:type="pct"/>
            <w:shd w:val="clear" w:color="000000" w:fill="FAAAA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65</w:t>
            </w:r>
          </w:p>
        </w:tc>
        <w:tc>
          <w:tcPr>
            <w:tcW w:w="234" w:type="pct"/>
            <w:shd w:val="clear" w:color="000000" w:fill="ECF0F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38</w:t>
            </w:r>
          </w:p>
        </w:tc>
        <w:tc>
          <w:tcPr>
            <w:tcW w:w="234" w:type="pct"/>
            <w:shd w:val="clear" w:color="000000" w:fill="FBCED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55</w:t>
            </w:r>
          </w:p>
        </w:tc>
        <w:tc>
          <w:tcPr>
            <w:tcW w:w="373" w:type="pct"/>
            <w:shd w:val="clear" w:color="000000" w:fill="A1BCD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19</w:t>
            </w:r>
          </w:p>
        </w:tc>
        <w:tc>
          <w:tcPr>
            <w:tcW w:w="234" w:type="pct"/>
            <w:shd w:val="clear" w:color="000000" w:fill="FBD5D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53</w:t>
            </w:r>
          </w:p>
        </w:tc>
        <w:tc>
          <w:tcPr>
            <w:tcW w:w="234" w:type="pct"/>
            <w:shd w:val="clear" w:color="000000" w:fill="FBC0C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59</w:t>
            </w:r>
          </w:p>
        </w:tc>
        <w:tc>
          <w:tcPr>
            <w:tcW w:w="372" w:type="pct"/>
            <w:shd w:val="clear" w:color="000000" w:fill="F9838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76</w:t>
            </w:r>
          </w:p>
        </w:tc>
        <w:tc>
          <w:tcPr>
            <w:tcW w:w="235" w:type="pct"/>
            <w:shd w:val="clear" w:color="000000" w:fill="ECF0F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38</w:t>
            </w:r>
          </w:p>
        </w:tc>
        <w:tc>
          <w:tcPr>
            <w:tcW w:w="234" w:type="pct"/>
            <w:shd w:val="clear" w:color="000000" w:fill="F0F3F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39</w:t>
            </w:r>
          </w:p>
        </w:tc>
        <w:tc>
          <w:tcPr>
            <w:tcW w:w="234" w:type="pct"/>
            <w:shd w:val="clear" w:color="000000" w:fill="F0F3F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39</w:t>
            </w:r>
          </w:p>
        </w:tc>
        <w:tc>
          <w:tcPr>
            <w:tcW w:w="234" w:type="pct"/>
            <w:shd w:val="clear" w:color="000000" w:fill="FAA6A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66</w:t>
            </w:r>
          </w:p>
        </w:tc>
      </w:tr>
      <w:tr w:rsidR="00277582" w:rsidRPr="00DC3433" w:rsidTr="00DC3433">
        <w:trPr>
          <w:trHeight w:val="198"/>
        </w:trPr>
        <w:tc>
          <w:tcPr>
            <w:tcW w:w="234" w:type="pct"/>
            <w:shd w:val="clear" w:color="000000" w:fill="FBD5D8"/>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53</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Drammensregionen</w:t>
            </w:r>
          </w:p>
        </w:tc>
        <w:tc>
          <w:tcPr>
            <w:tcW w:w="234" w:type="pct"/>
            <w:shd w:val="clear" w:color="000000" w:fill="FCFCF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42</w:t>
            </w:r>
          </w:p>
        </w:tc>
        <w:tc>
          <w:tcPr>
            <w:tcW w:w="234" w:type="pct"/>
            <w:shd w:val="clear" w:color="000000" w:fill="FCF2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45</w:t>
            </w:r>
          </w:p>
        </w:tc>
        <w:tc>
          <w:tcPr>
            <w:tcW w:w="234" w:type="pct"/>
            <w:shd w:val="clear" w:color="000000" w:fill="FCE0E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50</w:t>
            </w:r>
          </w:p>
        </w:tc>
        <w:tc>
          <w:tcPr>
            <w:tcW w:w="236" w:type="pct"/>
            <w:shd w:val="clear" w:color="000000" w:fill="E0E8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35</w:t>
            </w:r>
          </w:p>
        </w:tc>
        <w:tc>
          <w:tcPr>
            <w:tcW w:w="234" w:type="pct"/>
            <w:shd w:val="clear" w:color="000000" w:fill="FBB8B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61</w:t>
            </w:r>
          </w:p>
        </w:tc>
        <w:tc>
          <w:tcPr>
            <w:tcW w:w="234" w:type="pct"/>
            <w:shd w:val="clear" w:color="000000" w:fill="F0F3F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39</w:t>
            </w:r>
          </w:p>
        </w:tc>
        <w:tc>
          <w:tcPr>
            <w:tcW w:w="373" w:type="pct"/>
            <w:shd w:val="clear" w:color="000000" w:fill="FBC7C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57</w:t>
            </w:r>
          </w:p>
        </w:tc>
        <w:tc>
          <w:tcPr>
            <w:tcW w:w="234" w:type="pct"/>
            <w:shd w:val="clear" w:color="000000" w:fill="F0F3F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39</w:t>
            </w:r>
          </w:p>
        </w:tc>
        <w:tc>
          <w:tcPr>
            <w:tcW w:w="234" w:type="pct"/>
            <w:shd w:val="clear" w:color="000000" w:fill="ECF0F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38</w:t>
            </w:r>
          </w:p>
        </w:tc>
        <w:tc>
          <w:tcPr>
            <w:tcW w:w="372" w:type="pct"/>
            <w:shd w:val="clear" w:color="000000" w:fill="E8EEF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37</w:t>
            </w:r>
          </w:p>
        </w:tc>
        <w:tc>
          <w:tcPr>
            <w:tcW w:w="235" w:type="pct"/>
            <w:shd w:val="clear" w:color="000000" w:fill="C8D7E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29</w:t>
            </w:r>
          </w:p>
        </w:tc>
        <w:tc>
          <w:tcPr>
            <w:tcW w:w="234" w:type="pct"/>
            <w:shd w:val="clear" w:color="000000" w:fill="FCEEF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46</w:t>
            </w:r>
          </w:p>
        </w:tc>
        <w:tc>
          <w:tcPr>
            <w:tcW w:w="234" w:type="pct"/>
            <w:shd w:val="clear" w:color="000000" w:fill="FBB5B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62</w:t>
            </w:r>
          </w:p>
        </w:tc>
        <w:tc>
          <w:tcPr>
            <w:tcW w:w="234" w:type="pct"/>
            <w:shd w:val="clear" w:color="000000" w:fill="E8EEF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37</w:t>
            </w:r>
          </w:p>
        </w:tc>
      </w:tr>
      <w:tr w:rsidR="00277582" w:rsidRPr="00DC3433" w:rsidTr="00DC3433">
        <w:trPr>
          <w:trHeight w:val="198"/>
        </w:trPr>
        <w:tc>
          <w:tcPr>
            <w:tcW w:w="234" w:type="pct"/>
            <w:shd w:val="clear" w:color="000000" w:fill="FBD1D4"/>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54</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Ringerike/Hole</w:t>
            </w:r>
          </w:p>
        </w:tc>
        <w:tc>
          <w:tcPr>
            <w:tcW w:w="234" w:type="pct"/>
            <w:shd w:val="clear" w:color="000000" w:fill="F0F3F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39</w:t>
            </w:r>
          </w:p>
        </w:tc>
        <w:tc>
          <w:tcPr>
            <w:tcW w:w="234" w:type="pct"/>
            <w:shd w:val="clear" w:color="000000" w:fill="F0F3F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39</w:t>
            </w:r>
          </w:p>
        </w:tc>
        <w:tc>
          <w:tcPr>
            <w:tcW w:w="234" w:type="pct"/>
            <w:shd w:val="clear" w:color="000000" w:fill="FAB1B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63</w:t>
            </w:r>
          </w:p>
        </w:tc>
        <w:tc>
          <w:tcPr>
            <w:tcW w:w="236" w:type="pct"/>
            <w:shd w:val="clear" w:color="000000" w:fill="E4EBF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36</w:t>
            </w:r>
          </w:p>
        </w:tc>
        <w:tc>
          <w:tcPr>
            <w:tcW w:w="234" w:type="pct"/>
            <w:shd w:val="clear" w:color="000000" w:fill="FCF2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45</w:t>
            </w:r>
          </w:p>
        </w:tc>
        <w:tc>
          <w:tcPr>
            <w:tcW w:w="234" w:type="pct"/>
            <w:shd w:val="clear" w:color="000000" w:fill="FAAAA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65</w:t>
            </w:r>
          </w:p>
        </w:tc>
        <w:tc>
          <w:tcPr>
            <w:tcW w:w="373" w:type="pct"/>
            <w:shd w:val="clear" w:color="000000" w:fill="81A5D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11</w:t>
            </w:r>
          </w:p>
        </w:tc>
        <w:tc>
          <w:tcPr>
            <w:tcW w:w="234" w:type="pct"/>
            <w:shd w:val="clear" w:color="000000" w:fill="81A5D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11</w:t>
            </w:r>
          </w:p>
        </w:tc>
        <w:tc>
          <w:tcPr>
            <w:tcW w:w="234" w:type="pct"/>
            <w:shd w:val="clear" w:color="000000" w:fill="F9868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75</w:t>
            </w:r>
          </w:p>
        </w:tc>
        <w:tc>
          <w:tcPr>
            <w:tcW w:w="372" w:type="pct"/>
            <w:shd w:val="clear" w:color="000000" w:fill="F9717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81</w:t>
            </w:r>
          </w:p>
        </w:tc>
        <w:tc>
          <w:tcPr>
            <w:tcW w:w="235" w:type="pct"/>
            <w:shd w:val="clear" w:color="000000" w:fill="D4E0F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32</w:t>
            </w:r>
          </w:p>
        </w:tc>
        <w:tc>
          <w:tcPr>
            <w:tcW w:w="234" w:type="pct"/>
            <w:shd w:val="clear" w:color="000000" w:fill="FBD5D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53</w:t>
            </w:r>
          </w:p>
        </w:tc>
        <w:tc>
          <w:tcPr>
            <w:tcW w:w="234" w:type="pct"/>
            <w:shd w:val="clear" w:color="000000" w:fill="FCF5F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44</w:t>
            </w:r>
          </w:p>
        </w:tc>
        <w:tc>
          <w:tcPr>
            <w:tcW w:w="234" w:type="pct"/>
            <w:shd w:val="clear" w:color="000000" w:fill="ECF0F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38</w:t>
            </w:r>
          </w:p>
        </w:tc>
      </w:tr>
      <w:tr w:rsidR="00277582" w:rsidRPr="00DC3433" w:rsidTr="00DC3433">
        <w:trPr>
          <w:trHeight w:val="198"/>
        </w:trPr>
        <w:tc>
          <w:tcPr>
            <w:tcW w:w="234" w:type="pct"/>
            <w:shd w:val="clear" w:color="000000" w:fill="FBC3C6"/>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58</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Hamarregionen</w:t>
            </w:r>
          </w:p>
        </w:tc>
        <w:tc>
          <w:tcPr>
            <w:tcW w:w="234" w:type="pct"/>
            <w:shd w:val="clear" w:color="000000" w:fill="FBB8B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61</w:t>
            </w:r>
          </w:p>
        </w:tc>
        <w:tc>
          <w:tcPr>
            <w:tcW w:w="234" w:type="pct"/>
            <w:shd w:val="clear" w:color="000000" w:fill="DCE5F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34</w:t>
            </w:r>
          </w:p>
        </w:tc>
        <w:tc>
          <w:tcPr>
            <w:tcW w:w="234" w:type="pct"/>
            <w:shd w:val="clear" w:color="000000" w:fill="FBCAC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56</w:t>
            </w:r>
          </w:p>
        </w:tc>
        <w:tc>
          <w:tcPr>
            <w:tcW w:w="236" w:type="pct"/>
            <w:shd w:val="clear" w:color="000000" w:fill="F98A8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74</w:t>
            </w:r>
          </w:p>
        </w:tc>
        <w:tc>
          <w:tcPr>
            <w:tcW w:w="234" w:type="pct"/>
            <w:shd w:val="clear" w:color="000000" w:fill="F8F9F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41</w:t>
            </w:r>
          </w:p>
        </w:tc>
        <w:tc>
          <w:tcPr>
            <w:tcW w:w="234" w:type="pct"/>
            <w:shd w:val="clear" w:color="000000" w:fill="FCE3E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49</w:t>
            </w:r>
          </w:p>
        </w:tc>
        <w:tc>
          <w:tcPr>
            <w:tcW w:w="373" w:type="pct"/>
            <w:shd w:val="clear" w:color="000000" w:fill="F0F3F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39</w:t>
            </w:r>
          </w:p>
        </w:tc>
        <w:tc>
          <w:tcPr>
            <w:tcW w:w="234" w:type="pct"/>
            <w:shd w:val="clear" w:color="000000" w:fill="C4D5E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28</w:t>
            </w:r>
          </w:p>
        </w:tc>
        <w:tc>
          <w:tcPr>
            <w:tcW w:w="234" w:type="pct"/>
            <w:shd w:val="clear" w:color="000000" w:fill="FCEBE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47</w:t>
            </w:r>
          </w:p>
        </w:tc>
        <w:tc>
          <w:tcPr>
            <w:tcW w:w="372" w:type="pct"/>
            <w:shd w:val="clear" w:color="000000" w:fill="FCE3E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49</w:t>
            </w:r>
          </w:p>
        </w:tc>
        <w:tc>
          <w:tcPr>
            <w:tcW w:w="235" w:type="pct"/>
            <w:shd w:val="clear" w:color="000000" w:fill="D0DDE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31</w:t>
            </w:r>
          </w:p>
        </w:tc>
        <w:tc>
          <w:tcPr>
            <w:tcW w:w="234" w:type="pct"/>
            <w:shd w:val="clear" w:color="000000" w:fill="FBB8B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61</w:t>
            </w:r>
          </w:p>
        </w:tc>
        <w:tc>
          <w:tcPr>
            <w:tcW w:w="234" w:type="pct"/>
            <w:shd w:val="clear" w:color="000000" w:fill="FCF2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45</w:t>
            </w:r>
          </w:p>
        </w:tc>
        <w:tc>
          <w:tcPr>
            <w:tcW w:w="234" w:type="pct"/>
            <w:shd w:val="clear" w:color="000000" w:fill="D4E0F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32</w:t>
            </w:r>
          </w:p>
        </w:tc>
      </w:tr>
      <w:tr w:rsidR="00277582" w:rsidRPr="00DC3433" w:rsidTr="00DC3433">
        <w:trPr>
          <w:trHeight w:val="198"/>
        </w:trPr>
        <w:tc>
          <w:tcPr>
            <w:tcW w:w="234" w:type="pct"/>
            <w:shd w:val="clear" w:color="000000" w:fill="FBC0C2"/>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59</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Nedre Glomma</w:t>
            </w:r>
          </w:p>
        </w:tc>
        <w:tc>
          <w:tcPr>
            <w:tcW w:w="234" w:type="pct"/>
            <w:shd w:val="clear" w:color="000000" w:fill="FCE7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48</w:t>
            </w:r>
          </w:p>
        </w:tc>
        <w:tc>
          <w:tcPr>
            <w:tcW w:w="234" w:type="pct"/>
            <w:shd w:val="clear" w:color="000000" w:fill="FA919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72</w:t>
            </w:r>
          </w:p>
        </w:tc>
        <w:tc>
          <w:tcPr>
            <w:tcW w:w="234" w:type="pct"/>
            <w:shd w:val="clear" w:color="000000" w:fill="FBB8B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61</w:t>
            </w:r>
          </w:p>
        </w:tc>
        <w:tc>
          <w:tcPr>
            <w:tcW w:w="236" w:type="pct"/>
            <w:shd w:val="clear" w:color="000000" w:fill="ECF0F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38</w:t>
            </w:r>
          </w:p>
        </w:tc>
        <w:tc>
          <w:tcPr>
            <w:tcW w:w="234" w:type="pct"/>
            <w:shd w:val="clear" w:color="000000" w:fill="FBD1D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54</w:t>
            </w:r>
          </w:p>
        </w:tc>
        <w:tc>
          <w:tcPr>
            <w:tcW w:w="234" w:type="pct"/>
            <w:shd w:val="clear" w:color="000000" w:fill="F4F6F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40</w:t>
            </w:r>
          </w:p>
        </w:tc>
        <w:tc>
          <w:tcPr>
            <w:tcW w:w="373" w:type="pct"/>
            <w:shd w:val="clear" w:color="000000" w:fill="FCE7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48</w:t>
            </w:r>
          </w:p>
        </w:tc>
        <w:tc>
          <w:tcPr>
            <w:tcW w:w="234" w:type="pct"/>
            <w:shd w:val="clear" w:color="000000" w:fill="FBBCB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60</w:t>
            </w:r>
          </w:p>
        </w:tc>
        <w:tc>
          <w:tcPr>
            <w:tcW w:w="234" w:type="pct"/>
            <w:shd w:val="clear" w:color="000000" w:fill="95B3D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16</w:t>
            </w:r>
          </w:p>
        </w:tc>
        <w:tc>
          <w:tcPr>
            <w:tcW w:w="372" w:type="pct"/>
            <w:shd w:val="clear" w:color="000000" w:fill="F8F9F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41</w:t>
            </w:r>
          </w:p>
        </w:tc>
        <w:tc>
          <w:tcPr>
            <w:tcW w:w="235" w:type="pct"/>
            <w:shd w:val="clear" w:color="000000" w:fill="FCF2F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45</w:t>
            </w:r>
          </w:p>
        </w:tc>
        <w:tc>
          <w:tcPr>
            <w:tcW w:w="234" w:type="pct"/>
            <w:shd w:val="clear" w:color="000000" w:fill="FBCAC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56</w:t>
            </w:r>
          </w:p>
        </w:tc>
        <w:tc>
          <w:tcPr>
            <w:tcW w:w="234" w:type="pct"/>
            <w:shd w:val="clear" w:color="000000" w:fill="FBD5D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53</w:t>
            </w:r>
          </w:p>
        </w:tc>
        <w:tc>
          <w:tcPr>
            <w:tcW w:w="234" w:type="pct"/>
            <w:shd w:val="clear" w:color="000000" w:fill="FCEBE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47</w:t>
            </w:r>
          </w:p>
        </w:tc>
      </w:tr>
      <w:tr w:rsidR="00277582" w:rsidRPr="00DC3433" w:rsidTr="00DC3433">
        <w:trPr>
          <w:trHeight w:val="198"/>
        </w:trPr>
        <w:tc>
          <w:tcPr>
            <w:tcW w:w="234" w:type="pct"/>
            <w:shd w:val="clear" w:color="000000" w:fill="FBBCBF"/>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60</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proofErr w:type="spellStart"/>
            <w:r w:rsidRPr="00DC3433">
              <w:rPr>
                <w:rFonts w:ascii="Arial" w:eastAsia="Times New Roman" w:hAnsi="Arial" w:cs="Arial"/>
                <w:color w:val="000000"/>
                <w:sz w:val="17"/>
                <w:szCs w:val="17"/>
                <w:lang w:eastAsia="nb-NO"/>
              </w:rPr>
              <w:t>Nord-Gudbrandsdal</w:t>
            </w:r>
            <w:proofErr w:type="spellEnd"/>
          </w:p>
        </w:tc>
        <w:tc>
          <w:tcPr>
            <w:tcW w:w="234" w:type="pct"/>
            <w:shd w:val="clear" w:color="000000" w:fill="FBCED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55</w:t>
            </w:r>
          </w:p>
        </w:tc>
        <w:tc>
          <w:tcPr>
            <w:tcW w:w="234" w:type="pct"/>
            <w:shd w:val="clear" w:color="000000" w:fill="FAAEB0"/>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64</w:t>
            </w:r>
          </w:p>
        </w:tc>
        <w:tc>
          <w:tcPr>
            <w:tcW w:w="234" w:type="pct"/>
            <w:shd w:val="clear" w:color="000000" w:fill="FCF5F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44</w:t>
            </w:r>
          </w:p>
        </w:tc>
        <w:tc>
          <w:tcPr>
            <w:tcW w:w="236" w:type="pct"/>
            <w:shd w:val="clear" w:color="000000" w:fill="F98D90"/>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73</w:t>
            </w:r>
          </w:p>
        </w:tc>
        <w:tc>
          <w:tcPr>
            <w:tcW w:w="234" w:type="pct"/>
            <w:shd w:val="clear" w:color="000000" w:fill="6D97C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w:t>
            </w:r>
          </w:p>
        </w:tc>
        <w:tc>
          <w:tcPr>
            <w:tcW w:w="234" w:type="pct"/>
            <w:shd w:val="clear" w:color="000000" w:fill="FAAEB0"/>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64</w:t>
            </w:r>
          </w:p>
        </w:tc>
        <w:tc>
          <w:tcPr>
            <w:tcW w:w="373" w:type="pct"/>
            <w:shd w:val="clear" w:color="000000" w:fill="89ABD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13</w:t>
            </w:r>
          </w:p>
        </w:tc>
        <w:tc>
          <w:tcPr>
            <w:tcW w:w="234" w:type="pct"/>
            <w:shd w:val="clear" w:color="000000" w:fill="F8696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83</w:t>
            </w:r>
          </w:p>
        </w:tc>
        <w:tc>
          <w:tcPr>
            <w:tcW w:w="234" w:type="pct"/>
            <w:shd w:val="clear" w:color="000000" w:fill="E8EEF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37</w:t>
            </w:r>
          </w:p>
        </w:tc>
        <w:tc>
          <w:tcPr>
            <w:tcW w:w="372" w:type="pct"/>
            <w:shd w:val="clear" w:color="000000" w:fill="F8696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83</w:t>
            </w:r>
          </w:p>
        </w:tc>
        <w:tc>
          <w:tcPr>
            <w:tcW w:w="235" w:type="pct"/>
            <w:shd w:val="clear" w:color="000000" w:fill="E8EEF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37</w:t>
            </w:r>
          </w:p>
        </w:tc>
        <w:tc>
          <w:tcPr>
            <w:tcW w:w="234" w:type="pct"/>
            <w:shd w:val="clear" w:color="000000" w:fill="FBC0C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59</w:t>
            </w:r>
          </w:p>
        </w:tc>
        <w:tc>
          <w:tcPr>
            <w:tcW w:w="234" w:type="pct"/>
            <w:shd w:val="clear" w:color="000000" w:fill="7DA3D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10</w:t>
            </w:r>
          </w:p>
        </w:tc>
        <w:tc>
          <w:tcPr>
            <w:tcW w:w="234" w:type="pct"/>
            <w:shd w:val="clear" w:color="000000" w:fill="F9717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81</w:t>
            </w:r>
          </w:p>
        </w:tc>
      </w:tr>
      <w:tr w:rsidR="00277582" w:rsidRPr="00DC3433" w:rsidTr="00DC3433">
        <w:trPr>
          <w:trHeight w:val="198"/>
        </w:trPr>
        <w:tc>
          <w:tcPr>
            <w:tcW w:w="234" w:type="pct"/>
            <w:shd w:val="clear" w:color="000000" w:fill="FA9C9E"/>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69</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Valdres</w:t>
            </w:r>
          </w:p>
        </w:tc>
        <w:tc>
          <w:tcPr>
            <w:tcW w:w="234" w:type="pct"/>
            <w:shd w:val="clear" w:color="000000" w:fill="FA959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71</w:t>
            </w:r>
          </w:p>
        </w:tc>
        <w:tc>
          <w:tcPr>
            <w:tcW w:w="234" w:type="pct"/>
            <w:shd w:val="clear" w:color="000000" w:fill="FAA6A9"/>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66</w:t>
            </w:r>
          </w:p>
        </w:tc>
        <w:tc>
          <w:tcPr>
            <w:tcW w:w="234" w:type="pct"/>
            <w:shd w:val="clear" w:color="000000" w:fill="FA959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71</w:t>
            </w:r>
          </w:p>
        </w:tc>
        <w:tc>
          <w:tcPr>
            <w:tcW w:w="236" w:type="pct"/>
            <w:shd w:val="clear" w:color="000000" w:fill="F8F9F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41</w:t>
            </w:r>
          </w:p>
        </w:tc>
        <w:tc>
          <w:tcPr>
            <w:tcW w:w="234" w:type="pct"/>
            <w:shd w:val="clear" w:color="000000" w:fill="F9868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75</w:t>
            </w:r>
          </w:p>
        </w:tc>
        <w:tc>
          <w:tcPr>
            <w:tcW w:w="234" w:type="pct"/>
            <w:shd w:val="clear" w:color="000000" w:fill="FBCAC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56</w:t>
            </w:r>
          </w:p>
        </w:tc>
        <w:tc>
          <w:tcPr>
            <w:tcW w:w="373" w:type="pct"/>
            <w:shd w:val="clear" w:color="000000" w:fill="FBB8B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61</w:t>
            </w:r>
          </w:p>
        </w:tc>
        <w:tc>
          <w:tcPr>
            <w:tcW w:w="234" w:type="pct"/>
            <w:shd w:val="clear" w:color="000000" w:fill="B8CCE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25</w:t>
            </w:r>
          </w:p>
        </w:tc>
        <w:tc>
          <w:tcPr>
            <w:tcW w:w="234" w:type="pct"/>
            <w:shd w:val="clear" w:color="000000" w:fill="C8D7E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29</w:t>
            </w:r>
          </w:p>
        </w:tc>
        <w:tc>
          <w:tcPr>
            <w:tcW w:w="372" w:type="pct"/>
            <w:shd w:val="clear" w:color="000000" w:fill="FCD9D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52</w:t>
            </w:r>
          </w:p>
        </w:tc>
        <w:tc>
          <w:tcPr>
            <w:tcW w:w="235" w:type="pct"/>
            <w:shd w:val="clear" w:color="000000" w:fill="FA959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71</w:t>
            </w:r>
          </w:p>
        </w:tc>
        <w:tc>
          <w:tcPr>
            <w:tcW w:w="234" w:type="pct"/>
            <w:shd w:val="clear" w:color="000000" w:fill="FA9C9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69</w:t>
            </w:r>
          </w:p>
        </w:tc>
        <w:tc>
          <w:tcPr>
            <w:tcW w:w="234" w:type="pct"/>
            <w:shd w:val="clear" w:color="000000" w:fill="F97B7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78</w:t>
            </w:r>
          </w:p>
        </w:tc>
        <w:tc>
          <w:tcPr>
            <w:tcW w:w="234" w:type="pct"/>
            <w:shd w:val="clear" w:color="000000" w:fill="D8E2F2"/>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33</w:t>
            </w:r>
          </w:p>
        </w:tc>
      </w:tr>
      <w:tr w:rsidR="00277582" w:rsidRPr="00DC3433" w:rsidTr="00DC3433">
        <w:trPr>
          <w:trHeight w:val="198"/>
        </w:trPr>
        <w:tc>
          <w:tcPr>
            <w:tcW w:w="234" w:type="pct"/>
            <w:shd w:val="clear" w:color="000000" w:fill="F97F81"/>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77</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Hadeland</w:t>
            </w:r>
          </w:p>
        </w:tc>
        <w:tc>
          <w:tcPr>
            <w:tcW w:w="234" w:type="pct"/>
            <w:shd w:val="clear" w:color="000000" w:fill="FBCAC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56</w:t>
            </w:r>
          </w:p>
        </w:tc>
        <w:tc>
          <w:tcPr>
            <w:tcW w:w="234" w:type="pct"/>
            <w:shd w:val="clear" w:color="000000" w:fill="FA989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70</w:t>
            </w:r>
          </w:p>
        </w:tc>
        <w:tc>
          <w:tcPr>
            <w:tcW w:w="234" w:type="pct"/>
            <w:shd w:val="clear" w:color="000000" w:fill="FCEBE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47</w:t>
            </w:r>
          </w:p>
        </w:tc>
        <w:tc>
          <w:tcPr>
            <w:tcW w:w="236" w:type="pct"/>
            <w:shd w:val="clear" w:color="000000" w:fill="FA959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71</w:t>
            </w:r>
          </w:p>
        </w:tc>
        <w:tc>
          <w:tcPr>
            <w:tcW w:w="234" w:type="pct"/>
            <w:shd w:val="clear" w:color="000000" w:fill="F9787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79</w:t>
            </w:r>
          </w:p>
        </w:tc>
        <w:tc>
          <w:tcPr>
            <w:tcW w:w="234" w:type="pct"/>
            <w:shd w:val="clear" w:color="000000" w:fill="FA9C9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69</w:t>
            </w:r>
          </w:p>
        </w:tc>
        <w:tc>
          <w:tcPr>
            <w:tcW w:w="373" w:type="pct"/>
            <w:shd w:val="clear" w:color="000000" w:fill="FA989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70</w:t>
            </w:r>
          </w:p>
        </w:tc>
        <w:tc>
          <w:tcPr>
            <w:tcW w:w="234" w:type="pct"/>
            <w:shd w:val="clear" w:color="000000" w:fill="F96D6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82</w:t>
            </w:r>
          </w:p>
        </w:tc>
        <w:tc>
          <w:tcPr>
            <w:tcW w:w="234" w:type="pct"/>
            <w:shd w:val="clear" w:color="000000" w:fill="F97F8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77</w:t>
            </w:r>
          </w:p>
        </w:tc>
        <w:tc>
          <w:tcPr>
            <w:tcW w:w="372" w:type="pct"/>
            <w:shd w:val="clear" w:color="000000" w:fill="FAAEB0"/>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64</w:t>
            </w:r>
          </w:p>
        </w:tc>
        <w:tc>
          <w:tcPr>
            <w:tcW w:w="235" w:type="pct"/>
            <w:shd w:val="clear" w:color="000000" w:fill="F9747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80</w:t>
            </w:r>
          </w:p>
        </w:tc>
        <w:tc>
          <w:tcPr>
            <w:tcW w:w="234" w:type="pct"/>
            <w:shd w:val="clear" w:color="000000" w:fill="FBB5B7"/>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62</w:t>
            </w:r>
          </w:p>
        </w:tc>
        <w:tc>
          <w:tcPr>
            <w:tcW w:w="234" w:type="pct"/>
            <w:shd w:val="clear" w:color="000000" w:fill="F9717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81</w:t>
            </w:r>
          </w:p>
        </w:tc>
        <w:tc>
          <w:tcPr>
            <w:tcW w:w="234" w:type="pct"/>
            <w:shd w:val="clear" w:color="000000" w:fill="F8696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83</w:t>
            </w:r>
          </w:p>
        </w:tc>
      </w:tr>
      <w:tr w:rsidR="00277582" w:rsidRPr="00DC3433" w:rsidTr="00DC3433">
        <w:trPr>
          <w:trHeight w:val="198"/>
        </w:trPr>
        <w:tc>
          <w:tcPr>
            <w:tcW w:w="234" w:type="pct"/>
            <w:tcBorders>
              <w:bottom w:val="single" w:sz="4" w:space="0" w:color="auto"/>
            </w:tcBorders>
            <w:shd w:val="clear" w:color="000000" w:fill="F97B7E"/>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78</w:t>
            </w:r>
          </w:p>
        </w:tc>
        <w:tc>
          <w:tcPr>
            <w:tcW w:w="1208" w:type="pct"/>
            <w:tcBorders>
              <w:bottom w:val="single" w:sz="4" w:space="0" w:color="auto"/>
            </w:tcBorders>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Øst-Telemark</w:t>
            </w:r>
          </w:p>
        </w:tc>
        <w:tc>
          <w:tcPr>
            <w:tcW w:w="234" w:type="pct"/>
            <w:tcBorders>
              <w:bottom w:val="single" w:sz="4" w:space="0" w:color="auto"/>
            </w:tcBorders>
            <w:shd w:val="clear" w:color="000000" w:fill="F98A8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74</w:t>
            </w:r>
          </w:p>
        </w:tc>
        <w:tc>
          <w:tcPr>
            <w:tcW w:w="234" w:type="pct"/>
            <w:tcBorders>
              <w:bottom w:val="single" w:sz="4" w:space="0" w:color="auto"/>
            </w:tcBorders>
            <w:shd w:val="clear" w:color="000000" w:fill="F9747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80</w:t>
            </w:r>
          </w:p>
        </w:tc>
        <w:tc>
          <w:tcPr>
            <w:tcW w:w="234" w:type="pct"/>
            <w:tcBorders>
              <w:bottom w:val="single" w:sz="4" w:space="0" w:color="auto"/>
            </w:tcBorders>
            <w:shd w:val="clear" w:color="000000" w:fill="F9868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75</w:t>
            </w:r>
          </w:p>
        </w:tc>
        <w:tc>
          <w:tcPr>
            <w:tcW w:w="236" w:type="pct"/>
            <w:tcBorders>
              <w:bottom w:val="single" w:sz="4" w:space="0" w:color="auto"/>
            </w:tcBorders>
            <w:shd w:val="clear" w:color="000000" w:fill="C8D7E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29</w:t>
            </w:r>
          </w:p>
        </w:tc>
        <w:tc>
          <w:tcPr>
            <w:tcW w:w="234" w:type="pct"/>
            <w:tcBorders>
              <w:bottom w:val="single" w:sz="4" w:space="0" w:color="auto"/>
            </w:tcBorders>
            <w:shd w:val="clear" w:color="000000" w:fill="F9747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80</w:t>
            </w:r>
          </w:p>
        </w:tc>
        <w:tc>
          <w:tcPr>
            <w:tcW w:w="234" w:type="pct"/>
            <w:tcBorders>
              <w:bottom w:val="single" w:sz="4" w:space="0" w:color="auto"/>
            </w:tcBorders>
            <w:shd w:val="clear" w:color="000000" w:fill="FA919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72</w:t>
            </w:r>
          </w:p>
        </w:tc>
        <w:tc>
          <w:tcPr>
            <w:tcW w:w="373" w:type="pct"/>
            <w:tcBorders>
              <w:bottom w:val="single" w:sz="4" w:space="0" w:color="auto"/>
            </w:tcBorders>
            <w:shd w:val="clear" w:color="000000" w:fill="F97F8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77</w:t>
            </w:r>
          </w:p>
        </w:tc>
        <w:tc>
          <w:tcPr>
            <w:tcW w:w="234" w:type="pct"/>
            <w:tcBorders>
              <w:bottom w:val="single" w:sz="4" w:space="0" w:color="auto"/>
            </w:tcBorders>
            <w:shd w:val="clear" w:color="000000" w:fill="FA919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72</w:t>
            </w:r>
          </w:p>
        </w:tc>
        <w:tc>
          <w:tcPr>
            <w:tcW w:w="234" w:type="pct"/>
            <w:tcBorders>
              <w:bottom w:val="single" w:sz="4" w:space="0" w:color="auto"/>
            </w:tcBorders>
            <w:shd w:val="clear" w:color="000000" w:fill="FA919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72</w:t>
            </w:r>
          </w:p>
        </w:tc>
        <w:tc>
          <w:tcPr>
            <w:tcW w:w="372" w:type="pct"/>
            <w:tcBorders>
              <w:bottom w:val="single" w:sz="4" w:space="0" w:color="auto"/>
            </w:tcBorders>
            <w:shd w:val="clear" w:color="000000" w:fill="F9747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80</w:t>
            </w:r>
          </w:p>
        </w:tc>
        <w:tc>
          <w:tcPr>
            <w:tcW w:w="235" w:type="pct"/>
            <w:tcBorders>
              <w:bottom w:val="single" w:sz="4" w:space="0" w:color="auto"/>
            </w:tcBorders>
            <w:shd w:val="clear" w:color="000000" w:fill="95B3D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16</w:t>
            </w:r>
          </w:p>
        </w:tc>
        <w:tc>
          <w:tcPr>
            <w:tcW w:w="234" w:type="pct"/>
            <w:tcBorders>
              <w:bottom w:val="single" w:sz="4" w:space="0" w:color="auto"/>
            </w:tcBorders>
            <w:shd w:val="clear" w:color="000000" w:fill="FA989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70</w:t>
            </w:r>
          </w:p>
        </w:tc>
        <w:tc>
          <w:tcPr>
            <w:tcW w:w="234" w:type="pct"/>
            <w:tcBorders>
              <w:bottom w:val="single" w:sz="4" w:space="0" w:color="auto"/>
            </w:tcBorders>
            <w:shd w:val="clear" w:color="000000" w:fill="F96D6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82</w:t>
            </w:r>
          </w:p>
        </w:tc>
        <w:tc>
          <w:tcPr>
            <w:tcW w:w="234" w:type="pct"/>
            <w:tcBorders>
              <w:bottom w:val="single" w:sz="4" w:space="0" w:color="auto"/>
            </w:tcBorders>
            <w:shd w:val="clear" w:color="000000" w:fill="F97F81"/>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77</w:t>
            </w:r>
          </w:p>
        </w:tc>
      </w:tr>
      <w:tr w:rsidR="00277582" w:rsidRPr="00DC3433" w:rsidTr="00DC3433">
        <w:trPr>
          <w:trHeight w:val="198"/>
        </w:trPr>
        <w:tc>
          <w:tcPr>
            <w:tcW w:w="234" w:type="pct"/>
            <w:tcBorders>
              <w:top w:val="single" w:sz="4" w:space="0" w:color="auto"/>
              <w:bottom w:val="single" w:sz="4" w:space="0" w:color="auto"/>
            </w:tcBorders>
            <w:shd w:val="clear" w:color="000000" w:fill="F97476"/>
            <w:noWrap/>
            <w:vAlign w:val="bottom"/>
            <w:hideMark/>
          </w:tcPr>
          <w:p w:rsidR="00277582" w:rsidRPr="00DC3433" w:rsidRDefault="00277582" w:rsidP="008643EF">
            <w:pPr>
              <w:spacing w:after="0" w:line="240" w:lineRule="auto"/>
              <w:jc w:val="right"/>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80</w:t>
            </w:r>
          </w:p>
        </w:tc>
        <w:tc>
          <w:tcPr>
            <w:tcW w:w="1208" w:type="pct"/>
            <w:tcBorders>
              <w:top w:val="single" w:sz="4" w:space="0" w:color="auto"/>
              <w:bottom w:val="single" w:sz="4" w:space="0" w:color="auto"/>
            </w:tcBorders>
            <w:shd w:val="clear" w:color="auto" w:fill="auto"/>
            <w:noWrap/>
            <w:vAlign w:val="bottom"/>
            <w:hideMark/>
          </w:tcPr>
          <w:p w:rsidR="00277582" w:rsidRPr="00DC3433" w:rsidRDefault="00277582" w:rsidP="008643EF">
            <w:pPr>
              <w:spacing w:after="0" w:line="240" w:lineRule="auto"/>
              <w:rPr>
                <w:rFonts w:ascii="Arial" w:eastAsia="Times New Roman" w:hAnsi="Arial" w:cs="Arial"/>
                <w:b/>
                <w:color w:val="000000"/>
                <w:sz w:val="17"/>
                <w:szCs w:val="17"/>
                <w:lang w:eastAsia="nb-NO"/>
              </w:rPr>
            </w:pPr>
            <w:proofErr w:type="spellStart"/>
            <w:r w:rsidRPr="00DC3433">
              <w:rPr>
                <w:rFonts w:ascii="Arial" w:eastAsia="Times New Roman" w:hAnsi="Arial" w:cs="Arial"/>
                <w:b/>
                <w:color w:val="C00000"/>
                <w:sz w:val="17"/>
                <w:szCs w:val="17"/>
                <w:lang w:eastAsia="nb-NO"/>
              </w:rPr>
              <w:t>Glåmdal</w:t>
            </w:r>
            <w:proofErr w:type="spellEnd"/>
          </w:p>
        </w:tc>
        <w:tc>
          <w:tcPr>
            <w:tcW w:w="234" w:type="pct"/>
            <w:tcBorders>
              <w:top w:val="single" w:sz="4" w:space="0" w:color="auto"/>
              <w:bottom w:val="single" w:sz="4" w:space="0" w:color="auto"/>
            </w:tcBorders>
            <w:shd w:val="clear" w:color="000000" w:fill="F98688"/>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75</w:t>
            </w:r>
          </w:p>
        </w:tc>
        <w:tc>
          <w:tcPr>
            <w:tcW w:w="234" w:type="pct"/>
            <w:tcBorders>
              <w:top w:val="single" w:sz="4" w:space="0" w:color="auto"/>
              <w:bottom w:val="single" w:sz="4" w:space="0" w:color="auto"/>
            </w:tcBorders>
            <w:shd w:val="clear" w:color="000000" w:fill="F98385"/>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76</w:t>
            </w:r>
          </w:p>
        </w:tc>
        <w:tc>
          <w:tcPr>
            <w:tcW w:w="234" w:type="pct"/>
            <w:tcBorders>
              <w:top w:val="single" w:sz="4" w:space="0" w:color="auto"/>
              <w:bottom w:val="single" w:sz="4" w:space="0" w:color="auto"/>
            </w:tcBorders>
            <w:shd w:val="clear" w:color="000000" w:fill="F97476"/>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80</w:t>
            </w:r>
          </w:p>
        </w:tc>
        <w:tc>
          <w:tcPr>
            <w:tcW w:w="236" w:type="pct"/>
            <w:tcBorders>
              <w:top w:val="single" w:sz="4" w:space="0" w:color="auto"/>
              <w:bottom w:val="single" w:sz="4" w:space="0" w:color="auto"/>
            </w:tcBorders>
            <w:shd w:val="clear" w:color="000000" w:fill="F98385"/>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76</w:t>
            </w:r>
          </w:p>
        </w:tc>
        <w:tc>
          <w:tcPr>
            <w:tcW w:w="234" w:type="pct"/>
            <w:tcBorders>
              <w:top w:val="single" w:sz="4" w:space="0" w:color="auto"/>
              <w:bottom w:val="single" w:sz="4" w:space="0" w:color="auto"/>
            </w:tcBorders>
            <w:shd w:val="clear" w:color="000000" w:fill="F98D90"/>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73</w:t>
            </w:r>
          </w:p>
        </w:tc>
        <w:tc>
          <w:tcPr>
            <w:tcW w:w="234" w:type="pct"/>
            <w:tcBorders>
              <w:top w:val="single" w:sz="4" w:space="0" w:color="auto"/>
              <w:bottom w:val="single" w:sz="4" w:space="0" w:color="auto"/>
            </w:tcBorders>
            <w:shd w:val="clear" w:color="000000" w:fill="FAA6A9"/>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66</w:t>
            </w:r>
          </w:p>
        </w:tc>
        <w:tc>
          <w:tcPr>
            <w:tcW w:w="373" w:type="pct"/>
            <w:tcBorders>
              <w:top w:val="single" w:sz="4" w:space="0" w:color="auto"/>
              <w:bottom w:val="single" w:sz="4" w:space="0" w:color="auto"/>
            </w:tcBorders>
            <w:shd w:val="clear" w:color="000000" w:fill="FA9193"/>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72</w:t>
            </w:r>
          </w:p>
        </w:tc>
        <w:tc>
          <w:tcPr>
            <w:tcW w:w="234" w:type="pct"/>
            <w:tcBorders>
              <w:top w:val="single" w:sz="4" w:space="0" w:color="auto"/>
              <w:bottom w:val="single" w:sz="4" w:space="0" w:color="auto"/>
            </w:tcBorders>
            <w:shd w:val="clear" w:color="000000" w:fill="FBD1D4"/>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54</w:t>
            </w:r>
          </w:p>
        </w:tc>
        <w:tc>
          <w:tcPr>
            <w:tcW w:w="234" w:type="pct"/>
            <w:tcBorders>
              <w:top w:val="single" w:sz="4" w:space="0" w:color="auto"/>
              <w:bottom w:val="single" w:sz="4" w:space="0" w:color="auto"/>
            </w:tcBorders>
            <w:shd w:val="clear" w:color="000000" w:fill="FBC7C9"/>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57</w:t>
            </w:r>
          </w:p>
        </w:tc>
        <w:tc>
          <w:tcPr>
            <w:tcW w:w="372" w:type="pct"/>
            <w:tcBorders>
              <w:top w:val="single" w:sz="4" w:space="0" w:color="auto"/>
              <w:bottom w:val="single" w:sz="4" w:space="0" w:color="auto"/>
            </w:tcBorders>
            <w:shd w:val="clear" w:color="000000" w:fill="FBD5D8"/>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53</w:t>
            </w:r>
          </w:p>
        </w:tc>
        <w:tc>
          <w:tcPr>
            <w:tcW w:w="235" w:type="pct"/>
            <w:tcBorders>
              <w:top w:val="single" w:sz="4" w:space="0" w:color="auto"/>
              <w:bottom w:val="single" w:sz="4" w:space="0" w:color="auto"/>
            </w:tcBorders>
            <w:shd w:val="clear" w:color="000000" w:fill="F97B7E"/>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78</w:t>
            </w:r>
          </w:p>
        </w:tc>
        <w:tc>
          <w:tcPr>
            <w:tcW w:w="234" w:type="pct"/>
            <w:tcBorders>
              <w:top w:val="single" w:sz="4" w:space="0" w:color="auto"/>
              <w:bottom w:val="single" w:sz="4" w:space="0" w:color="auto"/>
            </w:tcBorders>
            <w:shd w:val="clear" w:color="000000" w:fill="F9787A"/>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79</w:t>
            </w:r>
          </w:p>
        </w:tc>
        <w:tc>
          <w:tcPr>
            <w:tcW w:w="234" w:type="pct"/>
            <w:tcBorders>
              <w:top w:val="single" w:sz="4" w:space="0" w:color="auto"/>
              <w:bottom w:val="single" w:sz="4" w:space="0" w:color="auto"/>
            </w:tcBorders>
            <w:shd w:val="clear" w:color="000000" w:fill="F9787A"/>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79</w:t>
            </w:r>
          </w:p>
        </w:tc>
        <w:tc>
          <w:tcPr>
            <w:tcW w:w="234" w:type="pct"/>
            <w:tcBorders>
              <w:top w:val="single" w:sz="4" w:space="0" w:color="auto"/>
              <w:bottom w:val="single" w:sz="4" w:space="0" w:color="auto"/>
            </w:tcBorders>
            <w:shd w:val="clear" w:color="000000" w:fill="FBBCBF"/>
            <w:noWrap/>
            <w:vAlign w:val="bottom"/>
            <w:hideMark/>
          </w:tcPr>
          <w:p w:rsidR="00277582" w:rsidRPr="00DC3433" w:rsidRDefault="00277582" w:rsidP="00277582">
            <w:pPr>
              <w:spacing w:after="0" w:line="240" w:lineRule="auto"/>
              <w:jc w:val="center"/>
              <w:rPr>
                <w:rFonts w:ascii="Arial" w:eastAsia="Times New Roman" w:hAnsi="Arial" w:cs="Arial"/>
                <w:b/>
                <w:color w:val="000000"/>
                <w:sz w:val="17"/>
                <w:szCs w:val="17"/>
                <w:lang w:eastAsia="nb-NO"/>
              </w:rPr>
            </w:pPr>
            <w:r w:rsidRPr="00DC3433">
              <w:rPr>
                <w:rFonts w:ascii="Arial" w:eastAsia="Times New Roman" w:hAnsi="Arial" w:cs="Arial"/>
                <w:b/>
                <w:color w:val="000000"/>
                <w:sz w:val="17"/>
                <w:szCs w:val="17"/>
                <w:lang w:eastAsia="nb-NO"/>
              </w:rPr>
              <w:t>60</w:t>
            </w:r>
          </w:p>
        </w:tc>
      </w:tr>
      <w:tr w:rsidR="00277582" w:rsidRPr="00DC3433" w:rsidTr="00DC3433">
        <w:trPr>
          <w:trHeight w:val="198"/>
        </w:trPr>
        <w:tc>
          <w:tcPr>
            <w:tcW w:w="234" w:type="pct"/>
            <w:tcBorders>
              <w:top w:val="single" w:sz="4" w:space="0" w:color="auto"/>
            </w:tcBorders>
            <w:shd w:val="clear" w:color="000000" w:fill="F97173"/>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81</w:t>
            </w:r>
          </w:p>
        </w:tc>
        <w:tc>
          <w:tcPr>
            <w:tcW w:w="1208" w:type="pct"/>
            <w:tcBorders>
              <w:top w:val="single" w:sz="4" w:space="0" w:color="auto"/>
            </w:tcBorders>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Halden</w:t>
            </w:r>
          </w:p>
        </w:tc>
        <w:tc>
          <w:tcPr>
            <w:tcW w:w="234" w:type="pct"/>
            <w:tcBorders>
              <w:top w:val="single" w:sz="4" w:space="0" w:color="auto"/>
            </w:tcBorders>
            <w:shd w:val="clear" w:color="000000" w:fill="F8696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83</w:t>
            </w:r>
          </w:p>
        </w:tc>
        <w:tc>
          <w:tcPr>
            <w:tcW w:w="234" w:type="pct"/>
            <w:tcBorders>
              <w:top w:val="single" w:sz="4" w:space="0" w:color="auto"/>
            </w:tcBorders>
            <w:shd w:val="clear" w:color="000000" w:fill="FCEBED"/>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47</w:t>
            </w:r>
          </w:p>
        </w:tc>
        <w:tc>
          <w:tcPr>
            <w:tcW w:w="234" w:type="pct"/>
            <w:tcBorders>
              <w:top w:val="single" w:sz="4" w:space="0" w:color="auto"/>
            </w:tcBorders>
            <w:shd w:val="clear" w:color="000000" w:fill="F97B7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78</w:t>
            </w:r>
          </w:p>
        </w:tc>
        <w:tc>
          <w:tcPr>
            <w:tcW w:w="236" w:type="pct"/>
            <w:tcBorders>
              <w:top w:val="single" w:sz="4" w:space="0" w:color="auto"/>
            </w:tcBorders>
            <w:shd w:val="clear" w:color="000000" w:fill="F8696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83</w:t>
            </w:r>
          </w:p>
        </w:tc>
        <w:tc>
          <w:tcPr>
            <w:tcW w:w="234" w:type="pct"/>
            <w:tcBorders>
              <w:top w:val="single" w:sz="4" w:space="0" w:color="auto"/>
            </w:tcBorders>
            <w:shd w:val="clear" w:color="000000" w:fill="FBBCB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60</w:t>
            </w:r>
          </w:p>
        </w:tc>
        <w:tc>
          <w:tcPr>
            <w:tcW w:w="234" w:type="pct"/>
            <w:tcBorders>
              <w:top w:val="single" w:sz="4" w:space="0" w:color="auto"/>
            </w:tcBorders>
            <w:shd w:val="clear" w:color="000000" w:fill="F8696B"/>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83</w:t>
            </w:r>
          </w:p>
        </w:tc>
        <w:tc>
          <w:tcPr>
            <w:tcW w:w="373" w:type="pct"/>
            <w:tcBorders>
              <w:top w:val="single" w:sz="4" w:space="0" w:color="auto"/>
            </w:tcBorders>
            <w:shd w:val="clear" w:color="000000" w:fill="E8EEF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37</w:t>
            </w:r>
          </w:p>
        </w:tc>
        <w:tc>
          <w:tcPr>
            <w:tcW w:w="234" w:type="pct"/>
            <w:tcBorders>
              <w:top w:val="single" w:sz="4" w:space="0" w:color="auto"/>
            </w:tcBorders>
            <w:shd w:val="clear" w:color="000000" w:fill="F9838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76</w:t>
            </w:r>
          </w:p>
        </w:tc>
        <w:tc>
          <w:tcPr>
            <w:tcW w:w="234" w:type="pct"/>
            <w:tcBorders>
              <w:top w:val="single" w:sz="4" w:space="0" w:color="auto"/>
            </w:tcBorders>
            <w:shd w:val="clear" w:color="000000" w:fill="A5BEE0"/>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20</w:t>
            </w:r>
          </w:p>
        </w:tc>
        <w:tc>
          <w:tcPr>
            <w:tcW w:w="372" w:type="pct"/>
            <w:tcBorders>
              <w:top w:val="single" w:sz="4" w:space="0" w:color="auto"/>
            </w:tcBorders>
            <w:shd w:val="clear" w:color="000000" w:fill="F9868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75</w:t>
            </w:r>
          </w:p>
        </w:tc>
        <w:tc>
          <w:tcPr>
            <w:tcW w:w="235" w:type="pct"/>
            <w:tcBorders>
              <w:top w:val="single" w:sz="4" w:space="0" w:color="auto"/>
            </w:tcBorders>
            <w:shd w:val="clear" w:color="000000" w:fill="F9838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76</w:t>
            </w:r>
          </w:p>
        </w:tc>
        <w:tc>
          <w:tcPr>
            <w:tcW w:w="234" w:type="pct"/>
            <w:tcBorders>
              <w:top w:val="single" w:sz="4" w:space="0" w:color="auto"/>
            </w:tcBorders>
            <w:shd w:val="clear" w:color="000000" w:fill="F9717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81</w:t>
            </w:r>
          </w:p>
        </w:tc>
        <w:tc>
          <w:tcPr>
            <w:tcW w:w="234" w:type="pct"/>
            <w:tcBorders>
              <w:top w:val="single" w:sz="4" w:space="0" w:color="auto"/>
            </w:tcBorders>
            <w:shd w:val="clear" w:color="000000" w:fill="FAA3A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67</w:t>
            </w:r>
          </w:p>
        </w:tc>
        <w:tc>
          <w:tcPr>
            <w:tcW w:w="234" w:type="pct"/>
            <w:tcBorders>
              <w:top w:val="single" w:sz="4" w:space="0" w:color="auto"/>
            </w:tcBorders>
            <w:shd w:val="clear" w:color="000000" w:fill="F98385"/>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76</w:t>
            </w:r>
          </w:p>
        </w:tc>
      </w:tr>
      <w:tr w:rsidR="00277582" w:rsidRPr="00DC3433" w:rsidTr="00DC3433">
        <w:trPr>
          <w:trHeight w:val="198"/>
        </w:trPr>
        <w:tc>
          <w:tcPr>
            <w:tcW w:w="234" w:type="pct"/>
            <w:shd w:val="clear" w:color="000000" w:fill="F8696B"/>
            <w:noWrap/>
            <w:vAlign w:val="bottom"/>
            <w:hideMark/>
          </w:tcPr>
          <w:p w:rsidR="00277582" w:rsidRPr="00DC3433" w:rsidRDefault="00277582" w:rsidP="008643EF">
            <w:pPr>
              <w:spacing w:after="0" w:line="240" w:lineRule="auto"/>
              <w:jc w:val="right"/>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83</w:t>
            </w:r>
          </w:p>
        </w:tc>
        <w:tc>
          <w:tcPr>
            <w:tcW w:w="1208" w:type="pct"/>
            <w:shd w:val="clear" w:color="auto" w:fill="auto"/>
            <w:noWrap/>
            <w:vAlign w:val="bottom"/>
            <w:hideMark/>
          </w:tcPr>
          <w:p w:rsidR="00277582" w:rsidRPr="00DC3433" w:rsidRDefault="00277582" w:rsidP="008643EF">
            <w:pPr>
              <w:spacing w:after="0" w:line="240" w:lineRule="auto"/>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Sør Østerdal</w:t>
            </w:r>
          </w:p>
        </w:tc>
        <w:tc>
          <w:tcPr>
            <w:tcW w:w="234" w:type="pct"/>
            <w:shd w:val="clear" w:color="000000" w:fill="FA919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72</w:t>
            </w:r>
          </w:p>
        </w:tc>
        <w:tc>
          <w:tcPr>
            <w:tcW w:w="234" w:type="pct"/>
            <w:shd w:val="clear" w:color="000000" w:fill="F98D90"/>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73</w:t>
            </w:r>
          </w:p>
        </w:tc>
        <w:tc>
          <w:tcPr>
            <w:tcW w:w="234" w:type="pct"/>
            <w:shd w:val="clear" w:color="000000" w:fill="F96D6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82</w:t>
            </w:r>
          </w:p>
        </w:tc>
        <w:tc>
          <w:tcPr>
            <w:tcW w:w="236" w:type="pct"/>
            <w:shd w:val="clear" w:color="000000" w:fill="F97173"/>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81</w:t>
            </w:r>
          </w:p>
        </w:tc>
        <w:tc>
          <w:tcPr>
            <w:tcW w:w="234" w:type="pct"/>
            <w:shd w:val="clear" w:color="000000" w:fill="FCE7EA"/>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48</w:t>
            </w:r>
          </w:p>
        </w:tc>
        <w:tc>
          <w:tcPr>
            <w:tcW w:w="234" w:type="pct"/>
            <w:shd w:val="clear" w:color="000000" w:fill="FCDCD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51</w:t>
            </w:r>
          </w:p>
        </w:tc>
        <w:tc>
          <w:tcPr>
            <w:tcW w:w="373" w:type="pct"/>
            <w:shd w:val="clear" w:color="000000" w:fill="FAB1B4"/>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63</w:t>
            </w:r>
          </w:p>
        </w:tc>
        <w:tc>
          <w:tcPr>
            <w:tcW w:w="234" w:type="pct"/>
            <w:shd w:val="clear" w:color="000000" w:fill="F97476"/>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80</w:t>
            </w:r>
          </w:p>
        </w:tc>
        <w:tc>
          <w:tcPr>
            <w:tcW w:w="234" w:type="pct"/>
            <w:shd w:val="clear" w:color="000000" w:fill="FAAAAC"/>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65</w:t>
            </w:r>
          </w:p>
        </w:tc>
        <w:tc>
          <w:tcPr>
            <w:tcW w:w="372" w:type="pct"/>
            <w:shd w:val="clear" w:color="000000" w:fill="F97B7E"/>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78</w:t>
            </w:r>
          </w:p>
        </w:tc>
        <w:tc>
          <w:tcPr>
            <w:tcW w:w="235" w:type="pct"/>
            <w:shd w:val="clear" w:color="000000" w:fill="F98688"/>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75</w:t>
            </w:r>
          </w:p>
        </w:tc>
        <w:tc>
          <w:tcPr>
            <w:tcW w:w="234" w:type="pct"/>
            <w:shd w:val="clear" w:color="000000" w:fill="F96D6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82</w:t>
            </w:r>
          </w:p>
        </w:tc>
        <w:tc>
          <w:tcPr>
            <w:tcW w:w="234" w:type="pct"/>
            <w:shd w:val="clear" w:color="000000" w:fill="FAAEB0"/>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64</w:t>
            </w:r>
          </w:p>
        </w:tc>
        <w:tc>
          <w:tcPr>
            <w:tcW w:w="234" w:type="pct"/>
            <w:shd w:val="clear" w:color="000000" w:fill="F96D6F"/>
            <w:noWrap/>
            <w:vAlign w:val="bottom"/>
            <w:hideMark/>
          </w:tcPr>
          <w:p w:rsidR="00277582" w:rsidRPr="00DC3433" w:rsidRDefault="00277582" w:rsidP="00277582">
            <w:pPr>
              <w:spacing w:after="0" w:line="240" w:lineRule="auto"/>
              <w:jc w:val="center"/>
              <w:rPr>
                <w:rFonts w:ascii="Arial" w:eastAsia="Times New Roman" w:hAnsi="Arial" w:cs="Arial"/>
                <w:color w:val="000000"/>
                <w:sz w:val="17"/>
                <w:szCs w:val="17"/>
                <w:lang w:eastAsia="nb-NO"/>
              </w:rPr>
            </w:pPr>
            <w:r w:rsidRPr="00DC3433">
              <w:rPr>
                <w:rFonts w:ascii="Arial" w:eastAsia="Times New Roman" w:hAnsi="Arial" w:cs="Arial"/>
                <w:color w:val="000000"/>
                <w:sz w:val="17"/>
                <w:szCs w:val="17"/>
                <w:lang w:eastAsia="nb-NO"/>
              </w:rPr>
              <w:t>82</w:t>
            </w:r>
          </w:p>
        </w:tc>
      </w:tr>
    </w:tbl>
    <w:p w:rsidR="00B83526" w:rsidRDefault="00B83526" w:rsidP="00B83526"/>
    <w:p w:rsidR="00CC5392" w:rsidRDefault="00BB29E4" w:rsidP="00CC5392">
      <w:pPr>
        <w:sectPr w:rsidR="00CC5392" w:rsidSect="00687F25">
          <w:type w:val="continuous"/>
          <w:pgSz w:w="11906" w:h="16838"/>
          <w:pgMar w:top="1440" w:right="1080" w:bottom="1440" w:left="1080" w:header="708" w:footer="708" w:gutter="0"/>
          <w:cols w:space="708"/>
          <w:docGrid w:linePitch="360"/>
        </w:sectPr>
      </w:pPr>
      <w:r>
        <w:t xml:space="preserve">Dessverre for </w:t>
      </w:r>
      <w:proofErr w:type="spellStart"/>
      <w:r>
        <w:t>Glåmdal</w:t>
      </w:r>
      <w:proofErr w:type="spellEnd"/>
      <w:r>
        <w:t xml:space="preserve"> </w:t>
      </w:r>
      <w:r w:rsidR="00277582">
        <w:t xml:space="preserve">fremstår ikke næringslivet i </w:t>
      </w:r>
      <w:proofErr w:type="spellStart"/>
      <w:r w:rsidR="00277582">
        <w:t>enbedriftsforetakene</w:t>
      </w:r>
      <w:proofErr w:type="spellEnd"/>
      <w:r w:rsidR="00277582">
        <w:t xml:space="preserve"> mer innovativt når vi kontrollerer for bransjestruktur og størrelse, snarere tvert om. </w:t>
      </w:r>
      <w:proofErr w:type="spellStart"/>
      <w:r w:rsidR="00277582">
        <w:t>Glåmdals</w:t>
      </w:r>
      <w:proofErr w:type="spellEnd"/>
      <w:r w:rsidR="00277582">
        <w:t xml:space="preserve"> </w:t>
      </w:r>
      <w:proofErr w:type="spellStart"/>
      <w:r w:rsidR="00277582">
        <w:t>enbedriftsforetak</w:t>
      </w:r>
      <w:proofErr w:type="spellEnd"/>
      <w:r w:rsidR="00277582">
        <w:t xml:space="preserve"> </w:t>
      </w:r>
      <w:r>
        <w:t xml:space="preserve">har et dårlig innovasjonsklima, spesielt innen produkt- og prosessinnovasjon. </w:t>
      </w:r>
      <w:r w:rsidR="00A32CB9">
        <w:t xml:space="preserve">Bare tre regioner i Norge </w:t>
      </w:r>
      <w:r w:rsidR="003E26D9">
        <w:t>har</w:t>
      </w:r>
      <w:r w:rsidR="00A32CB9">
        <w:t xml:space="preserve"> et dårligere innovasjonsklima. </w:t>
      </w:r>
      <w:r w:rsidR="00500C46">
        <w:br w:type="page"/>
      </w:r>
    </w:p>
    <w:p w:rsidR="00500C46" w:rsidRDefault="00500C46" w:rsidP="00500C46">
      <w:pPr>
        <w:pStyle w:val="Overskrift2"/>
        <w:spacing w:before="120"/>
      </w:pPr>
      <w:bookmarkStart w:id="74" w:name="_Toc376866157"/>
      <w:r>
        <w:lastRenderedPageBreak/>
        <w:t>Internasjonalisering</w:t>
      </w:r>
      <w:bookmarkEnd w:id="74"/>
    </w:p>
    <w:p w:rsidR="00500C46" w:rsidRDefault="00500C46" w:rsidP="00500C46">
      <w:r>
        <w:t xml:space="preserve">Hvilke </w:t>
      </w:r>
      <w:r w:rsidR="007E29C2">
        <w:t>regioner</w:t>
      </w:r>
      <w:r>
        <w:t xml:space="preserve"> har det mest internasjonale næringslivet? Innovasjonsundersøkelsen har også data </w:t>
      </w:r>
      <w:r w:rsidR="00EB2B11">
        <w:t>på</w:t>
      </w:r>
      <w:r>
        <w:t xml:space="preserve"> hvorvidt bedriftene selger varer og tjenester til utlandet, og om de har sitt hovedmarked utenlands. Det kan vi bruke for å se hvordan tilbøyeligheten til å selge varer og tjenester utenlands varierer mellom </w:t>
      </w:r>
      <w:r w:rsidR="003065B4">
        <w:t>regionene</w:t>
      </w:r>
      <w:r>
        <w:t>.</w:t>
      </w:r>
    </w:p>
    <w:p w:rsidR="003065B4" w:rsidRDefault="00721884" w:rsidP="00500C46">
      <w:r>
        <w:t xml:space="preserve">I figuren til høyre </w:t>
      </w:r>
      <w:r w:rsidR="00500C46">
        <w:t xml:space="preserve">ser vi hvordan andelene som har eksport og som har sitt hovedmarked utenlands varierer mellom </w:t>
      </w:r>
      <w:r w:rsidR="003065B4">
        <w:t>regionene</w:t>
      </w:r>
      <w:r w:rsidR="00500C46">
        <w:t>.</w:t>
      </w:r>
    </w:p>
    <w:p w:rsidR="00500C46" w:rsidRDefault="00721884" w:rsidP="00500C46">
      <w:r>
        <w:t xml:space="preserve">På Østlandet er det Kongsberg/Numedal og Akershus Vest som har det mest internasjonale næringslivet. </w:t>
      </w:r>
    </w:p>
    <w:p w:rsidR="00721884" w:rsidRDefault="00721884" w:rsidP="00500C46">
      <w:proofErr w:type="spellStart"/>
      <w:r>
        <w:t>Glåmdal</w:t>
      </w:r>
      <w:proofErr w:type="spellEnd"/>
      <w:r>
        <w:t xml:space="preserve"> har også et over middels internasjonalt næringsliv på Østlandet, men litt under middels nasjonalt. Det skyldes at mange av de mest internasjonale bedriftene er </w:t>
      </w:r>
      <w:r w:rsidR="00A22BA3">
        <w:t xml:space="preserve">i Nord-Norge, mens mange av de minst internasjonale bedriftene er på Østlandet, spesielt i Hedmark og Oppland. </w:t>
      </w:r>
    </w:p>
    <w:p w:rsidR="00A22BA3" w:rsidRDefault="00A341B0" w:rsidP="00500C46">
      <w:r>
        <w:t xml:space="preserve">35,7 prosent av bedriftene i </w:t>
      </w:r>
      <w:proofErr w:type="spellStart"/>
      <w:r>
        <w:t>Glåmdal</w:t>
      </w:r>
      <w:proofErr w:type="spellEnd"/>
      <w:r>
        <w:t xml:space="preserve"> eksporterer sine varer eller tjenester til utlandet, mens kun en </w:t>
      </w:r>
      <w:r w:rsidR="00EA591B">
        <w:t xml:space="preserve">marginal </w:t>
      </w:r>
      <w:r>
        <w:t>andel</w:t>
      </w:r>
      <w:r w:rsidR="00EA591B">
        <w:t xml:space="preserve"> av bedriftene har sitt hovedmarked utenlands. </w:t>
      </w:r>
    </w:p>
    <w:p w:rsidR="00A23247" w:rsidRDefault="00EA591B" w:rsidP="00500C46">
      <w:r>
        <w:t xml:space="preserve">Andelen eksportbedrifter i </w:t>
      </w:r>
      <w:proofErr w:type="spellStart"/>
      <w:r>
        <w:t>Glåmdal</w:t>
      </w:r>
      <w:proofErr w:type="spellEnd"/>
      <w:r>
        <w:t xml:space="preserve"> er høyere enn i de øvrige regionene i Hedmark. </w:t>
      </w:r>
    </w:p>
    <w:p w:rsidR="00500C46" w:rsidRDefault="00500C46" w:rsidP="00500C46">
      <w:r>
        <w:br w:type="column"/>
      </w:r>
      <w:r w:rsidR="00344AA8">
        <w:rPr>
          <w:noProof/>
          <w:lang w:eastAsia="nb-NO"/>
        </w:rPr>
        <w:lastRenderedPageBreak/>
        <w:drawing>
          <wp:inline distT="0" distB="0" distL="0" distR="0">
            <wp:extent cx="2869565" cy="6639339"/>
            <wp:effectExtent l="0" t="0" r="6985"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44AA8" w:rsidRDefault="00500C46" w:rsidP="00500C46">
      <w:pPr>
        <w:pStyle w:val="Bildetekst"/>
      </w:pPr>
      <w:r>
        <w:t xml:space="preserve">Figur </w:t>
      </w:r>
      <w:r w:rsidR="004B3D9E">
        <w:fldChar w:fldCharType="begin"/>
      </w:r>
      <w:r>
        <w:instrText xml:space="preserve"> SEQ Figur \* ARABIC </w:instrText>
      </w:r>
      <w:r w:rsidR="004B3D9E">
        <w:fldChar w:fldCharType="separate"/>
      </w:r>
      <w:r w:rsidR="00CD5BFF">
        <w:rPr>
          <w:noProof/>
        </w:rPr>
        <w:t>75</w:t>
      </w:r>
      <w:r w:rsidR="004B3D9E">
        <w:rPr>
          <w:noProof/>
        </w:rPr>
        <w:fldChar w:fldCharType="end"/>
      </w:r>
      <w:r>
        <w:t>: Andel av bedrifter i innovasjonsundersøkelsen som oppgir at de selger til utlandet, og som har sitt hovedmarked utenlands.</w:t>
      </w:r>
      <w:r w:rsidR="00344AA8">
        <w:t xml:space="preserve"> Rangering blant de 83 regionene som er med. </w:t>
      </w:r>
    </w:p>
    <w:p w:rsidR="00344AA8" w:rsidRDefault="00344AA8">
      <w:pPr>
        <w:spacing w:after="0" w:line="240" w:lineRule="auto"/>
        <w:sectPr w:rsidR="00344AA8" w:rsidSect="002178BA">
          <w:type w:val="continuous"/>
          <w:pgSz w:w="11907" w:h="16840" w:code="9"/>
          <w:pgMar w:top="1440" w:right="1080" w:bottom="1440" w:left="1080" w:header="709" w:footer="709" w:gutter="0"/>
          <w:cols w:num="2" w:space="708"/>
          <w:docGrid w:linePitch="360"/>
        </w:sectPr>
      </w:pPr>
      <w:r>
        <w:br w:type="page"/>
      </w:r>
    </w:p>
    <w:p w:rsidR="00CC69DA" w:rsidRDefault="00CC69DA" w:rsidP="00CC69DA">
      <w:pPr>
        <w:pStyle w:val="Overskrift3"/>
      </w:pPr>
      <w:r>
        <w:lastRenderedPageBreak/>
        <w:t>Andel ansatte i eksportbedrifter</w:t>
      </w:r>
    </w:p>
    <w:p w:rsidR="00CC69DA" w:rsidRDefault="00CC69DA" w:rsidP="00CC69DA">
      <w:r>
        <w:t xml:space="preserve">I figuren </w:t>
      </w:r>
      <w:r w:rsidR="00256CB8">
        <w:t xml:space="preserve">på forrige side </w:t>
      </w:r>
      <w:r>
        <w:t xml:space="preserve">viste vi andelen bedrifter med eksport. Da vil små og store bedrifter telle like mye. Vi kan også se på andelen av de ansatte </w:t>
      </w:r>
      <w:r w:rsidR="001608EA">
        <w:t xml:space="preserve">i næringslivet </w:t>
      </w:r>
      <w:r>
        <w:t xml:space="preserve">som arbeider i eksportbedrifter. Tallene blir da noe annerledes. Det er høyere andeler av ansatte i bedrifter med eksport. Det er fordi store bedrifter har sterkere tilbøyelighet til å ha eksport. </w:t>
      </w:r>
    </w:p>
    <w:p w:rsidR="00810B8F" w:rsidRDefault="000F5FF9" w:rsidP="00810B8F">
      <w:r>
        <w:t xml:space="preserve">Nesten halvparten av de ansatte i privat sektor i </w:t>
      </w:r>
      <w:proofErr w:type="spellStart"/>
      <w:r>
        <w:t>Glåmdal</w:t>
      </w:r>
      <w:proofErr w:type="spellEnd"/>
      <w:r>
        <w:t xml:space="preserve"> jobber i en bedrift som har eksport. Siden </w:t>
      </w:r>
      <w:proofErr w:type="spellStart"/>
      <w:r>
        <w:t>Glåmdal</w:t>
      </w:r>
      <w:proofErr w:type="spellEnd"/>
      <w:r>
        <w:t xml:space="preserve"> ikke rangerer høyt blant regionene på landsbasis, betyr det at de fleste regioner har en høy andel ansatte i eksportbedrifter. </w:t>
      </w:r>
    </w:p>
    <w:p w:rsidR="000F5FF9" w:rsidRDefault="000F5FF9" w:rsidP="00810B8F">
      <w:r>
        <w:t xml:space="preserve">Andelen ansatte i eksportbedrifter er høyere i </w:t>
      </w:r>
      <w:proofErr w:type="spellStart"/>
      <w:r>
        <w:t>Glåmdal</w:t>
      </w:r>
      <w:proofErr w:type="spellEnd"/>
      <w:r>
        <w:t xml:space="preserve"> enn i de øvrige regionene i Hedmark. </w:t>
      </w:r>
    </w:p>
    <w:p w:rsidR="00810B8F" w:rsidRDefault="00810B8F" w:rsidP="00810B8F"/>
    <w:p w:rsidR="00810B8F" w:rsidRDefault="00810B8F" w:rsidP="00810B8F"/>
    <w:p w:rsidR="00500C46" w:rsidRDefault="00810B8F" w:rsidP="00897756">
      <w:pPr>
        <w:pStyle w:val="Bildetekst"/>
      </w:pPr>
      <w:r>
        <w:br w:type="column"/>
      </w:r>
      <w:r w:rsidR="00E91FE7">
        <w:rPr>
          <w:noProof/>
          <w:lang w:eastAsia="nb-NO"/>
        </w:rPr>
        <w:lastRenderedPageBreak/>
        <w:drawing>
          <wp:inline distT="0" distB="0" distL="0" distR="0">
            <wp:extent cx="2869565" cy="6846073"/>
            <wp:effectExtent l="0" t="0" r="698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00C46" w:rsidRDefault="00500C46" w:rsidP="00500C46">
      <w:pPr>
        <w:pStyle w:val="Bildetekst"/>
      </w:pPr>
      <w:r>
        <w:t xml:space="preserve">Figur </w:t>
      </w:r>
      <w:r w:rsidR="004B3D9E">
        <w:fldChar w:fldCharType="begin"/>
      </w:r>
      <w:r>
        <w:instrText xml:space="preserve"> SEQ Figur \* ARABIC </w:instrText>
      </w:r>
      <w:r w:rsidR="004B3D9E">
        <w:fldChar w:fldCharType="separate"/>
      </w:r>
      <w:r w:rsidR="00CD5BFF">
        <w:rPr>
          <w:noProof/>
        </w:rPr>
        <w:t>76</w:t>
      </w:r>
      <w:r w:rsidR="004B3D9E">
        <w:rPr>
          <w:noProof/>
        </w:rPr>
        <w:fldChar w:fldCharType="end"/>
      </w:r>
      <w:r>
        <w:t>: Andel av ansatte i innovasjonsundersøkelsen i bedrifter som oppgir at de selger til utlandet, og som har sitt hovedmarked utenlands.</w:t>
      </w:r>
      <w:r w:rsidR="00810B8F">
        <w:t xml:space="preserve"> Rangering blant de 83 regionene som er med. </w:t>
      </w:r>
    </w:p>
    <w:p w:rsidR="006E19AE" w:rsidRDefault="006E19AE">
      <w:pPr>
        <w:spacing w:after="0" w:line="240" w:lineRule="auto"/>
        <w:sectPr w:rsidR="006E19AE" w:rsidSect="002178BA">
          <w:type w:val="continuous"/>
          <w:pgSz w:w="11907" w:h="16840" w:code="9"/>
          <w:pgMar w:top="1440" w:right="1080" w:bottom="1440" w:left="1080" w:header="709" w:footer="709" w:gutter="0"/>
          <w:cols w:num="2" w:space="708"/>
          <w:docGrid w:linePitch="360"/>
        </w:sectPr>
      </w:pPr>
      <w:r>
        <w:br w:type="page"/>
      </w:r>
    </w:p>
    <w:p w:rsidR="00A12362" w:rsidRDefault="00A12362" w:rsidP="00A12362">
      <w:pPr>
        <w:pStyle w:val="Overskrift1"/>
        <w:spacing w:after="120"/>
        <w:ind w:left="-851" w:right="-425" w:firstLine="0"/>
      </w:pPr>
      <w:bookmarkStart w:id="75" w:name="_Toc341728627"/>
      <w:bookmarkStart w:id="76" w:name="_Toc342244172"/>
      <w:bookmarkStart w:id="77" w:name="_Toc345055609"/>
      <w:bookmarkStart w:id="78" w:name="_Toc376866136"/>
      <w:bookmarkStart w:id="79" w:name="_Toc376866239"/>
      <w:bookmarkStart w:id="80" w:name="_Toc376866321"/>
      <w:bookmarkStart w:id="81" w:name="_Toc378016990"/>
      <w:bookmarkStart w:id="82" w:name="_Toc378143640"/>
      <w:bookmarkStart w:id="83" w:name="_Toc381189697"/>
      <w:bookmarkStart w:id="84" w:name="_Toc407970407"/>
      <w:bookmarkStart w:id="85" w:name="_Toc408401089"/>
      <w:bookmarkStart w:id="86" w:name="_Toc409451090"/>
      <w:proofErr w:type="spellStart"/>
      <w:r>
        <w:lastRenderedPageBreak/>
        <w:t>NæringsNM</w:t>
      </w:r>
      <w:bookmarkEnd w:id="75"/>
      <w:bookmarkEnd w:id="76"/>
      <w:bookmarkEnd w:id="77"/>
      <w:bookmarkEnd w:id="78"/>
      <w:bookmarkEnd w:id="79"/>
      <w:bookmarkEnd w:id="80"/>
      <w:bookmarkEnd w:id="81"/>
      <w:bookmarkEnd w:id="82"/>
      <w:bookmarkEnd w:id="83"/>
      <w:bookmarkEnd w:id="84"/>
      <w:bookmarkEnd w:id="85"/>
      <w:bookmarkEnd w:id="86"/>
      <w:proofErr w:type="spellEnd"/>
    </w:p>
    <w:p w:rsidR="00A12362" w:rsidRDefault="00A12362" w:rsidP="00A12362">
      <w:pPr>
        <w:pStyle w:val="Ingress"/>
        <w:ind w:left="-284" w:right="0"/>
      </w:pPr>
      <w:proofErr w:type="spellStart"/>
      <w:r w:rsidRPr="00D86B35">
        <w:t>NæringsNM</w:t>
      </w:r>
      <w:proofErr w:type="spellEnd"/>
      <w:r w:rsidRPr="00D86B35">
        <w:t xml:space="preserve"> er utviklet for å måle hvordan næringslivet presterer i ulike områder i Norge.  For å måle næringsutviklingen i en kommune, ser vi på fire mål: Nyetableringer, lønnsomhet, vekst og næringslivets størrelse</w:t>
      </w:r>
      <w:r w:rsidRPr="00D86B35">
        <w:rPr>
          <w:rStyle w:val="Sluttnotereferanse"/>
        </w:rPr>
        <w:endnoteReference w:id="5"/>
      </w:r>
      <w:r w:rsidRPr="00D86B35">
        <w:t xml:space="preserve">. </w:t>
      </w:r>
    </w:p>
    <w:tbl>
      <w:tblPr>
        <w:tblW w:w="93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4"/>
        <w:gridCol w:w="2374"/>
        <w:gridCol w:w="6300"/>
      </w:tblGrid>
      <w:tr w:rsidR="00A12362" w:rsidRPr="00FF26B4" w:rsidTr="00381A89">
        <w:trPr>
          <w:trHeight w:val="284"/>
        </w:trPr>
        <w:tc>
          <w:tcPr>
            <w:tcW w:w="634" w:type="dxa"/>
            <w:vMerge w:val="restart"/>
            <w:shd w:val="clear" w:color="auto" w:fill="0087B3"/>
            <w:textDirection w:val="btLr"/>
          </w:tcPr>
          <w:p w:rsidR="00A12362" w:rsidRPr="006E6486" w:rsidRDefault="00A12362" w:rsidP="00381A89">
            <w:pPr>
              <w:ind w:left="113" w:right="113"/>
              <w:jc w:val="center"/>
              <w:rPr>
                <w:rFonts w:ascii="Neo Sans Light" w:hAnsi="Neo Sans Light"/>
                <w:b/>
                <w:sz w:val="44"/>
                <w:szCs w:val="44"/>
                <w:lang w:eastAsia="nb-NO"/>
              </w:rPr>
            </w:pPr>
            <w:proofErr w:type="spellStart"/>
            <w:r w:rsidRPr="00753CB0">
              <w:rPr>
                <w:rFonts w:ascii="Neo Sans Light" w:hAnsi="Neo Sans Light"/>
                <w:b/>
                <w:color w:val="FFFFFF" w:themeColor="background1"/>
                <w:sz w:val="44"/>
                <w:szCs w:val="44"/>
                <w:lang w:eastAsia="nb-NO"/>
              </w:rPr>
              <w:t>NæringsNM</w:t>
            </w:r>
            <w:proofErr w:type="spellEnd"/>
          </w:p>
        </w:tc>
        <w:tc>
          <w:tcPr>
            <w:tcW w:w="2374" w:type="dxa"/>
            <w:vMerge w:val="restart"/>
            <w:tcBorders>
              <w:right w:val="single" w:sz="4" w:space="0" w:color="auto"/>
            </w:tcBorders>
            <w:shd w:val="clear" w:color="auto" w:fill="A1BF26"/>
            <w:noWrap/>
            <w:vAlign w:val="center"/>
          </w:tcPr>
          <w:p w:rsidR="00A12362" w:rsidRPr="001304FC" w:rsidRDefault="00A12362" w:rsidP="00381A89">
            <w:pPr>
              <w:jc w:val="center"/>
              <w:rPr>
                <w:b/>
                <w:sz w:val="28"/>
                <w:szCs w:val="28"/>
                <w:lang w:eastAsia="nb-NO"/>
              </w:rPr>
            </w:pPr>
            <w:r w:rsidRPr="001304FC">
              <w:rPr>
                <w:b/>
                <w:sz w:val="28"/>
                <w:szCs w:val="28"/>
                <w:lang w:eastAsia="nb-NO"/>
              </w:rPr>
              <w:t>Ny</w:t>
            </w:r>
            <w:r>
              <w:rPr>
                <w:b/>
                <w:sz w:val="28"/>
                <w:szCs w:val="28"/>
                <w:lang w:eastAsia="nb-NO"/>
              </w:rPr>
              <w:t>e</w:t>
            </w:r>
            <w:r w:rsidRPr="001304FC">
              <w:rPr>
                <w:b/>
                <w:sz w:val="28"/>
                <w:szCs w:val="28"/>
                <w:lang w:eastAsia="nb-NO"/>
              </w:rPr>
              <w:t>tableringer</w:t>
            </w:r>
          </w:p>
        </w:tc>
        <w:tc>
          <w:tcPr>
            <w:tcW w:w="6300" w:type="dxa"/>
            <w:tcBorders>
              <w:top w:val="single" w:sz="4" w:space="0" w:color="auto"/>
              <w:left w:val="single" w:sz="4" w:space="0" w:color="auto"/>
              <w:bottom w:val="nil"/>
              <w:right w:val="single" w:sz="4" w:space="0" w:color="auto"/>
            </w:tcBorders>
            <w:shd w:val="clear" w:color="auto" w:fill="auto"/>
            <w:noWrap/>
          </w:tcPr>
          <w:p w:rsidR="00A12362" w:rsidRPr="00011F73" w:rsidRDefault="00A12362" w:rsidP="00381A89">
            <w:pPr>
              <w:numPr>
                <w:ilvl w:val="0"/>
                <w:numId w:val="15"/>
              </w:numPr>
              <w:spacing w:after="0" w:line="240" w:lineRule="auto"/>
              <w:ind w:left="587" w:hanging="425"/>
              <w:rPr>
                <w:szCs w:val="20"/>
                <w:lang w:eastAsia="nb-NO"/>
              </w:rPr>
            </w:pPr>
            <w:r w:rsidRPr="00011F73">
              <w:rPr>
                <w:szCs w:val="20"/>
                <w:lang w:eastAsia="nb-NO"/>
              </w:rPr>
              <w:t>Etableringsfrekvens: Antall nyregistrerte foretak som andel av eksisterende foretak i begynnelsen av året</w:t>
            </w:r>
          </w:p>
        </w:tc>
      </w:tr>
      <w:tr w:rsidR="00A12362" w:rsidRPr="00FF26B4" w:rsidTr="00381A89">
        <w:trPr>
          <w:trHeight w:val="284"/>
        </w:trPr>
        <w:tc>
          <w:tcPr>
            <w:tcW w:w="634" w:type="dxa"/>
            <w:vMerge/>
            <w:shd w:val="clear" w:color="auto" w:fill="0087B3"/>
          </w:tcPr>
          <w:p w:rsidR="00A12362" w:rsidRPr="00332BB4" w:rsidRDefault="00A12362" w:rsidP="00381A89">
            <w:pPr>
              <w:jc w:val="center"/>
              <w:rPr>
                <w:rFonts w:ascii="Times New Roman" w:hAnsi="Times New Roman"/>
                <w:b/>
                <w:sz w:val="28"/>
                <w:szCs w:val="28"/>
                <w:lang w:eastAsia="nb-NO"/>
              </w:rPr>
            </w:pPr>
          </w:p>
        </w:tc>
        <w:tc>
          <w:tcPr>
            <w:tcW w:w="2374" w:type="dxa"/>
            <w:vMerge/>
            <w:tcBorders>
              <w:right w:val="single" w:sz="4" w:space="0" w:color="auto"/>
            </w:tcBorders>
            <w:shd w:val="clear" w:color="auto" w:fill="A1BF26"/>
            <w:vAlign w:val="center"/>
          </w:tcPr>
          <w:p w:rsidR="00A12362" w:rsidRPr="001304FC" w:rsidRDefault="00A12362" w:rsidP="00381A89">
            <w:pPr>
              <w:jc w:val="center"/>
              <w:rPr>
                <w:b/>
                <w:sz w:val="28"/>
                <w:szCs w:val="28"/>
                <w:lang w:eastAsia="nb-NO"/>
              </w:rPr>
            </w:pPr>
          </w:p>
        </w:tc>
        <w:tc>
          <w:tcPr>
            <w:tcW w:w="6300" w:type="dxa"/>
            <w:tcBorders>
              <w:top w:val="nil"/>
              <w:left w:val="single" w:sz="4" w:space="0" w:color="auto"/>
              <w:bottom w:val="nil"/>
              <w:right w:val="single" w:sz="4" w:space="0" w:color="auto"/>
            </w:tcBorders>
            <w:shd w:val="clear" w:color="auto" w:fill="auto"/>
            <w:noWrap/>
          </w:tcPr>
          <w:p w:rsidR="00A12362" w:rsidRPr="00011F73" w:rsidRDefault="00A12362" w:rsidP="00381A89">
            <w:pPr>
              <w:numPr>
                <w:ilvl w:val="0"/>
                <w:numId w:val="15"/>
              </w:numPr>
              <w:spacing w:after="0" w:line="240" w:lineRule="auto"/>
              <w:ind w:left="587" w:hanging="425"/>
              <w:rPr>
                <w:szCs w:val="20"/>
                <w:lang w:eastAsia="nb-NO"/>
              </w:rPr>
            </w:pPr>
            <w:r w:rsidRPr="00011F73">
              <w:rPr>
                <w:szCs w:val="20"/>
                <w:lang w:eastAsia="nb-NO"/>
              </w:rPr>
              <w:t>Bransjejustert etableringsfrekvens: Basert på etablerings</w:t>
            </w:r>
            <w:r w:rsidRPr="00011F73">
              <w:rPr>
                <w:szCs w:val="20"/>
                <w:lang w:eastAsia="nb-NO"/>
              </w:rPr>
              <w:softHyphen/>
              <w:t>frekvens, justert for effekten av bransjestrukturen</w:t>
            </w:r>
          </w:p>
        </w:tc>
      </w:tr>
      <w:tr w:rsidR="00A12362" w:rsidRPr="00FF26B4" w:rsidTr="00381A89">
        <w:trPr>
          <w:trHeight w:val="284"/>
        </w:trPr>
        <w:tc>
          <w:tcPr>
            <w:tcW w:w="634" w:type="dxa"/>
            <w:vMerge/>
            <w:shd w:val="clear" w:color="auto" w:fill="0087B3"/>
          </w:tcPr>
          <w:p w:rsidR="00A12362" w:rsidRPr="00332BB4" w:rsidRDefault="00A12362" w:rsidP="00381A89">
            <w:pPr>
              <w:jc w:val="center"/>
              <w:rPr>
                <w:rFonts w:ascii="Times New Roman" w:hAnsi="Times New Roman"/>
                <w:b/>
                <w:sz w:val="28"/>
                <w:szCs w:val="28"/>
                <w:lang w:eastAsia="nb-NO"/>
              </w:rPr>
            </w:pPr>
          </w:p>
        </w:tc>
        <w:tc>
          <w:tcPr>
            <w:tcW w:w="2374" w:type="dxa"/>
            <w:vMerge/>
            <w:tcBorders>
              <w:bottom w:val="single" w:sz="4" w:space="0" w:color="auto"/>
              <w:right w:val="single" w:sz="4" w:space="0" w:color="auto"/>
            </w:tcBorders>
            <w:shd w:val="clear" w:color="auto" w:fill="A1BF26"/>
            <w:vAlign w:val="center"/>
          </w:tcPr>
          <w:p w:rsidR="00A12362" w:rsidRPr="001304FC" w:rsidRDefault="00A12362" w:rsidP="00381A89">
            <w:pPr>
              <w:jc w:val="center"/>
              <w:rPr>
                <w:b/>
                <w:sz w:val="28"/>
                <w:szCs w:val="28"/>
                <w:lang w:eastAsia="nb-NO"/>
              </w:rPr>
            </w:pPr>
          </w:p>
        </w:tc>
        <w:tc>
          <w:tcPr>
            <w:tcW w:w="6300" w:type="dxa"/>
            <w:tcBorders>
              <w:top w:val="nil"/>
              <w:left w:val="single" w:sz="4" w:space="0" w:color="auto"/>
              <w:bottom w:val="single" w:sz="4" w:space="0" w:color="auto"/>
              <w:right w:val="single" w:sz="4" w:space="0" w:color="auto"/>
            </w:tcBorders>
            <w:shd w:val="clear" w:color="auto" w:fill="auto"/>
            <w:noWrap/>
          </w:tcPr>
          <w:p w:rsidR="00A12362" w:rsidRPr="00011F73" w:rsidRDefault="00A12362" w:rsidP="00381A89">
            <w:pPr>
              <w:numPr>
                <w:ilvl w:val="0"/>
                <w:numId w:val="15"/>
              </w:numPr>
              <w:spacing w:after="0" w:line="240" w:lineRule="auto"/>
              <w:ind w:left="587" w:hanging="425"/>
              <w:rPr>
                <w:szCs w:val="20"/>
                <w:lang w:eastAsia="nb-NO"/>
              </w:rPr>
            </w:pPr>
            <w:r w:rsidRPr="00011F73">
              <w:rPr>
                <w:szCs w:val="20"/>
                <w:lang w:eastAsia="nb-NO"/>
              </w:rPr>
              <w:t>Vekst i antall foretak: Etableringsfrekvensen fratrukket nedlagte foretak</w:t>
            </w:r>
          </w:p>
        </w:tc>
      </w:tr>
      <w:tr w:rsidR="00A12362" w:rsidRPr="00FF26B4" w:rsidTr="00381A89">
        <w:trPr>
          <w:trHeight w:val="284"/>
        </w:trPr>
        <w:tc>
          <w:tcPr>
            <w:tcW w:w="634" w:type="dxa"/>
            <w:vMerge/>
            <w:shd w:val="clear" w:color="auto" w:fill="0087B3"/>
          </w:tcPr>
          <w:p w:rsidR="00A12362" w:rsidRPr="00332BB4" w:rsidRDefault="00A12362" w:rsidP="00381A89">
            <w:pPr>
              <w:jc w:val="center"/>
              <w:rPr>
                <w:rFonts w:ascii="Times New Roman" w:hAnsi="Times New Roman"/>
                <w:b/>
                <w:sz w:val="28"/>
                <w:szCs w:val="28"/>
                <w:lang w:eastAsia="nb-NO"/>
              </w:rPr>
            </w:pPr>
          </w:p>
        </w:tc>
        <w:tc>
          <w:tcPr>
            <w:tcW w:w="2374" w:type="dxa"/>
            <w:vMerge w:val="restart"/>
            <w:tcBorders>
              <w:right w:val="single" w:sz="4" w:space="0" w:color="auto"/>
            </w:tcBorders>
            <w:shd w:val="clear" w:color="auto" w:fill="D4EDEF"/>
            <w:noWrap/>
            <w:vAlign w:val="center"/>
          </w:tcPr>
          <w:p w:rsidR="00A12362" w:rsidRPr="001304FC" w:rsidRDefault="00A12362" w:rsidP="00381A89">
            <w:pPr>
              <w:jc w:val="center"/>
              <w:rPr>
                <w:b/>
                <w:sz w:val="28"/>
                <w:szCs w:val="28"/>
                <w:lang w:eastAsia="nb-NO"/>
              </w:rPr>
            </w:pPr>
            <w:r w:rsidRPr="001304FC">
              <w:rPr>
                <w:b/>
                <w:sz w:val="28"/>
                <w:szCs w:val="28"/>
                <w:lang w:eastAsia="nb-NO"/>
              </w:rPr>
              <w:t>Lønnsomhet</w:t>
            </w:r>
          </w:p>
        </w:tc>
        <w:tc>
          <w:tcPr>
            <w:tcW w:w="6300" w:type="dxa"/>
            <w:tcBorders>
              <w:top w:val="single" w:sz="4" w:space="0" w:color="auto"/>
              <w:left w:val="single" w:sz="4" w:space="0" w:color="auto"/>
              <w:bottom w:val="nil"/>
              <w:right w:val="single" w:sz="4" w:space="0" w:color="auto"/>
            </w:tcBorders>
            <w:shd w:val="clear" w:color="auto" w:fill="auto"/>
            <w:noWrap/>
          </w:tcPr>
          <w:p w:rsidR="00A12362" w:rsidRPr="00011F73" w:rsidRDefault="00A12362" w:rsidP="00381A89">
            <w:pPr>
              <w:numPr>
                <w:ilvl w:val="0"/>
                <w:numId w:val="15"/>
              </w:numPr>
              <w:spacing w:after="0" w:line="240" w:lineRule="auto"/>
              <w:ind w:left="587" w:hanging="425"/>
              <w:rPr>
                <w:szCs w:val="20"/>
                <w:lang w:eastAsia="nb-NO"/>
              </w:rPr>
            </w:pPr>
            <w:r w:rsidRPr="00011F73">
              <w:rPr>
                <w:szCs w:val="20"/>
                <w:lang w:eastAsia="nb-NO"/>
              </w:rPr>
              <w:t>Andel foretak med positivt resultat før skatt</w:t>
            </w:r>
          </w:p>
        </w:tc>
      </w:tr>
      <w:tr w:rsidR="00A12362" w:rsidRPr="00FF26B4" w:rsidTr="00381A89">
        <w:trPr>
          <w:trHeight w:val="284"/>
        </w:trPr>
        <w:tc>
          <w:tcPr>
            <w:tcW w:w="634" w:type="dxa"/>
            <w:vMerge/>
            <w:shd w:val="clear" w:color="auto" w:fill="0087B3"/>
          </w:tcPr>
          <w:p w:rsidR="00A12362" w:rsidRPr="00332BB4" w:rsidRDefault="00A12362" w:rsidP="00381A89">
            <w:pPr>
              <w:jc w:val="center"/>
              <w:rPr>
                <w:rFonts w:ascii="Times New Roman" w:hAnsi="Times New Roman"/>
                <w:b/>
                <w:sz w:val="28"/>
                <w:szCs w:val="28"/>
                <w:lang w:eastAsia="nb-NO"/>
              </w:rPr>
            </w:pPr>
          </w:p>
        </w:tc>
        <w:tc>
          <w:tcPr>
            <w:tcW w:w="2374" w:type="dxa"/>
            <w:vMerge/>
            <w:tcBorders>
              <w:right w:val="single" w:sz="4" w:space="0" w:color="auto"/>
            </w:tcBorders>
            <w:shd w:val="clear" w:color="auto" w:fill="D4EDEF"/>
            <w:vAlign w:val="center"/>
          </w:tcPr>
          <w:p w:rsidR="00A12362" w:rsidRPr="001304FC" w:rsidRDefault="00A12362" w:rsidP="00381A89">
            <w:pPr>
              <w:jc w:val="center"/>
              <w:rPr>
                <w:b/>
                <w:sz w:val="28"/>
                <w:szCs w:val="28"/>
                <w:lang w:eastAsia="nb-NO"/>
              </w:rPr>
            </w:pPr>
          </w:p>
        </w:tc>
        <w:tc>
          <w:tcPr>
            <w:tcW w:w="6300" w:type="dxa"/>
            <w:tcBorders>
              <w:top w:val="nil"/>
              <w:left w:val="single" w:sz="4" w:space="0" w:color="auto"/>
              <w:bottom w:val="nil"/>
              <w:right w:val="single" w:sz="4" w:space="0" w:color="auto"/>
            </w:tcBorders>
            <w:shd w:val="clear" w:color="auto" w:fill="auto"/>
            <w:noWrap/>
          </w:tcPr>
          <w:p w:rsidR="00A12362" w:rsidRPr="00011F73" w:rsidRDefault="00A12362" w:rsidP="00381A89">
            <w:pPr>
              <w:numPr>
                <w:ilvl w:val="0"/>
                <w:numId w:val="15"/>
              </w:numPr>
              <w:spacing w:after="0" w:line="240" w:lineRule="auto"/>
              <w:ind w:left="587" w:hanging="425"/>
              <w:rPr>
                <w:szCs w:val="20"/>
                <w:lang w:eastAsia="nb-NO"/>
              </w:rPr>
            </w:pPr>
            <w:r w:rsidRPr="00011F73">
              <w:rPr>
                <w:szCs w:val="20"/>
                <w:lang w:eastAsia="nb-NO"/>
              </w:rPr>
              <w:t>Bransjejustert lønnsomhet: Andel foretak med positivt resultat før skatt, justert for effekten bransjestruktur, bedriftens omsetning og alder.</w:t>
            </w:r>
          </w:p>
        </w:tc>
      </w:tr>
      <w:tr w:rsidR="00A12362" w:rsidRPr="00FF26B4" w:rsidTr="00381A89">
        <w:trPr>
          <w:trHeight w:val="284"/>
        </w:trPr>
        <w:tc>
          <w:tcPr>
            <w:tcW w:w="634" w:type="dxa"/>
            <w:vMerge/>
            <w:shd w:val="clear" w:color="auto" w:fill="0087B3"/>
          </w:tcPr>
          <w:p w:rsidR="00A12362" w:rsidRPr="00332BB4" w:rsidRDefault="00A12362" w:rsidP="00381A89">
            <w:pPr>
              <w:jc w:val="center"/>
              <w:rPr>
                <w:rFonts w:ascii="Times New Roman" w:hAnsi="Times New Roman"/>
                <w:b/>
                <w:sz w:val="28"/>
                <w:szCs w:val="28"/>
                <w:lang w:eastAsia="nb-NO"/>
              </w:rPr>
            </w:pPr>
          </w:p>
        </w:tc>
        <w:tc>
          <w:tcPr>
            <w:tcW w:w="2374" w:type="dxa"/>
            <w:vMerge/>
            <w:tcBorders>
              <w:bottom w:val="single" w:sz="4" w:space="0" w:color="auto"/>
              <w:right w:val="single" w:sz="4" w:space="0" w:color="auto"/>
            </w:tcBorders>
            <w:shd w:val="clear" w:color="auto" w:fill="D4EDEF"/>
            <w:vAlign w:val="center"/>
          </w:tcPr>
          <w:p w:rsidR="00A12362" w:rsidRPr="001304FC" w:rsidRDefault="00A12362" w:rsidP="00381A89">
            <w:pPr>
              <w:jc w:val="center"/>
              <w:rPr>
                <w:b/>
                <w:sz w:val="28"/>
                <w:szCs w:val="28"/>
                <w:lang w:eastAsia="nb-NO"/>
              </w:rPr>
            </w:pPr>
          </w:p>
        </w:tc>
        <w:tc>
          <w:tcPr>
            <w:tcW w:w="6300" w:type="dxa"/>
            <w:tcBorders>
              <w:top w:val="nil"/>
              <w:left w:val="single" w:sz="4" w:space="0" w:color="auto"/>
              <w:bottom w:val="single" w:sz="4" w:space="0" w:color="auto"/>
              <w:right w:val="single" w:sz="4" w:space="0" w:color="auto"/>
            </w:tcBorders>
            <w:shd w:val="clear" w:color="auto" w:fill="auto"/>
            <w:noWrap/>
          </w:tcPr>
          <w:p w:rsidR="00A12362" w:rsidRPr="00011F73" w:rsidRDefault="00A12362" w:rsidP="00381A89">
            <w:pPr>
              <w:numPr>
                <w:ilvl w:val="0"/>
                <w:numId w:val="15"/>
              </w:numPr>
              <w:spacing w:after="0" w:line="240" w:lineRule="auto"/>
              <w:ind w:left="587" w:hanging="425"/>
              <w:rPr>
                <w:szCs w:val="20"/>
                <w:lang w:eastAsia="nb-NO"/>
              </w:rPr>
            </w:pPr>
            <w:r w:rsidRPr="00011F73">
              <w:rPr>
                <w:szCs w:val="20"/>
                <w:lang w:eastAsia="nb-NO"/>
              </w:rPr>
              <w:t>Andel foretak med positiv egenkapital</w:t>
            </w:r>
          </w:p>
        </w:tc>
      </w:tr>
      <w:tr w:rsidR="00A12362" w:rsidRPr="00FF26B4" w:rsidTr="00381A89">
        <w:trPr>
          <w:trHeight w:val="284"/>
        </w:trPr>
        <w:tc>
          <w:tcPr>
            <w:tcW w:w="634" w:type="dxa"/>
            <w:vMerge/>
            <w:shd w:val="clear" w:color="auto" w:fill="0087B3"/>
          </w:tcPr>
          <w:p w:rsidR="00A12362" w:rsidRPr="00332BB4" w:rsidRDefault="00A12362" w:rsidP="00381A89">
            <w:pPr>
              <w:jc w:val="center"/>
              <w:rPr>
                <w:rFonts w:ascii="Times New Roman" w:hAnsi="Times New Roman"/>
                <w:b/>
                <w:sz w:val="28"/>
                <w:szCs w:val="28"/>
                <w:lang w:eastAsia="nb-NO"/>
              </w:rPr>
            </w:pPr>
          </w:p>
        </w:tc>
        <w:tc>
          <w:tcPr>
            <w:tcW w:w="2374" w:type="dxa"/>
            <w:vMerge w:val="restart"/>
            <w:tcBorders>
              <w:right w:val="single" w:sz="4" w:space="0" w:color="auto"/>
            </w:tcBorders>
            <w:shd w:val="clear" w:color="auto" w:fill="A89A80"/>
            <w:noWrap/>
            <w:vAlign w:val="center"/>
          </w:tcPr>
          <w:p w:rsidR="00A12362" w:rsidRPr="001304FC" w:rsidRDefault="00A12362" w:rsidP="00381A89">
            <w:pPr>
              <w:jc w:val="center"/>
              <w:rPr>
                <w:b/>
                <w:sz w:val="28"/>
                <w:szCs w:val="28"/>
                <w:lang w:eastAsia="nb-NO"/>
              </w:rPr>
            </w:pPr>
            <w:r w:rsidRPr="001304FC">
              <w:rPr>
                <w:b/>
                <w:sz w:val="28"/>
                <w:szCs w:val="28"/>
                <w:lang w:eastAsia="nb-NO"/>
              </w:rPr>
              <w:t>Vekst</w:t>
            </w:r>
          </w:p>
        </w:tc>
        <w:tc>
          <w:tcPr>
            <w:tcW w:w="6300" w:type="dxa"/>
            <w:tcBorders>
              <w:top w:val="single" w:sz="4" w:space="0" w:color="auto"/>
              <w:left w:val="single" w:sz="4" w:space="0" w:color="auto"/>
              <w:bottom w:val="nil"/>
              <w:right w:val="single" w:sz="4" w:space="0" w:color="auto"/>
            </w:tcBorders>
            <w:shd w:val="clear" w:color="auto" w:fill="auto"/>
            <w:noWrap/>
          </w:tcPr>
          <w:p w:rsidR="00A12362" w:rsidRPr="00011F73" w:rsidRDefault="00A12362" w:rsidP="00381A89">
            <w:pPr>
              <w:numPr>
                <w:ilvl w:val="0"/>
                <w:numId w:val="15"/>
              </w:numPr>
              <w:spacing w:after="0" w:line="240" w:lineRule="auto"/>
              <w:ind w:left="587" w:hanging="425"/>
              <w:rPr>
                <w:szCs w:val="20"/>
                <w:lang w:eastAsia="nb-NO"/>
              </w:rPr>
            </w:pPr>
            <w:r w:rsidRPr="00011F73">
              <w:rPr>
                <w:szCs w:val="20"/>
                <w:lang w:eastAsia="nb-NO"/>
              </w:rPr>
              <w:t>Andel foretak med omsetningsvekst høyere enn prisstigningen (KPI)</w:t>
            </w:r>
          </w:p>
        </w:tc>
      </w:tr>
      <w:tr w:rsidR="00A12362" w:rsidRPr="00FF26B4" w:rsidTr="00381A89">
        <w:trPr>
          <w:trHeight w:val="284"/>
        </w:trPr>
        <w:tc>
          <w:tcPr>
            <w:tcW w:w="634" w:type="dxa"/>
            <w:vMerge/>
            <w:shd w:val="clear" w:color="auto" w:fill="0087B3"/>
          </w:tcPr>
          <w:p w:rsidR="00A12362" w:rsidRPr="00332BB4" w:rsidRDefault="00A12362" w:rsidP="00381A89">
            <w:pPr>
              <w:jc w:val="center"/>
              <w:rPr>
                <w:rFonts w:ascii="Times New Roman" w:hAnsi="Times New Roman"/>
                <w:b/>
                <w:sz w:val="28"/>
                <w:szCs w:val="28"/>
                <w:lang w:eastAsia="nb-NO"/>
              </w:rPr>
            </w:pPr>
          </w:p>
        </w:tc>
        <w:tc>
          <w:tcPr>
            <w:tcW w:w="2374" w:type="dxa"/>
            <w:vMerge/>
            <w:tcBorders>
              <w:right w:val="single" w:sz="4" w:space="0" w:color="auto"/>
            </w:tcBorders>
            <w:shd w:val="clear" w:color="auto" w:fill="A89A80"/>
            <w:vAlign w:val="center"/>
          </w:tcPr>
          <w:p w:rsidR="00A12362" w:rsidRPr="001304FC" w:rsidRDefault="00A12362" w:rsidP="00381A89">
            <w:pPr>
              <w:jc w:val="center"/>
              <w:rPr>
                <w:b/>
                <w:sz w:val="28"/>
                <w:szCs w:val="28"/>
                <w:lang w:eastAsia="nb-NO"/>
              </w:rPr>
            </w:pPr>
          </w:p>
        </w:tc>
        <w:tc>
          <w:tcPr>
            <w:tcW w:w="6300" w:type="dxa"/>
            <w:tcBorders>
              <w:top w:val="nil"/>
              <w:left w:val="single" w:sz="4" w:space="0" w:color="auto"/>
              <w:bottom w:val="nil"/>
              <w:right w:val="single" w:sz="4" w:space="0" w:color="auto"/>
            </w:tcBorders>
            <w:shd w:val="clear" w:color="auto" w:fill="auto"/>
            <w:noWrap/>
          </w:tcPr>
          <w:p w:rsidR="00A12362" w:rsidRPr="00011F73" w:rsidRDefault="00A12362" w:rsidP="00381A89">
            <w:pPr>
              <w:numPr>
                <w:ilvl w:val="0"/>
                <w:numId w:val="15"/>
              </w:numPr>
              <w:spacing w:after="0" w:line="240" w:lineRule="auto"/>
              <w:ind w:left="587" w:hanging="425"/>
              <w:rPr>
                <w:szCs w:val="20"/>
                <w:lang w:eastAsia="nb-NO"/>
              </w:rPr>
            </w:pPr>
            <w:r w:rsidRPr="00011F73">
              <w:rPr>
                <w:szCs w:val="20"/>
                <w:lang w:eastAsia="nb-NO"/>
              </w:rPr>
              <w:t>Andel foretak med realvekst justert for bransjestruktur, bedriftens omsetning og alder.</w:t>
            </w:r>
          </w:p>
        </w:tc>
      </w:tr>
      <w:tr w:rsidR="00A12362" w:rsidRPr="00FF26B4" w:rsidTr="00381A89">
        <w:trPr>
          <w:trHeight w:val="284"/>
        </w:trPr>
        <w:tc>
          <w:tcPr>
            <w:tcW w:w="634" w:type="dxa"/>
            <w:vMerge/>
            <w:shd w:val="clear" w:color="auto" w:fill="0087B3"/>
          </w:tcPr>
          <w:p w:rsidR="00A12362" w:rsidRPr="00332BB4" w:rsidRDefault="00A12362" w:rsidP="00381A89">
            <w:pPr>
              <w:jc w:val="center"/>
              <w:rPr>
                <w:rFonts w:ascii="Times New Roman" w:hAnsi="Times New Roman"/>
                <w:b/>
                <w:sz w:val="28"/>
                <w:szCs w:val="28"/>
                <w:lang w:eastAsia="nb-NO"/>
              </w:rPr>
            </w:pPr>
          </w:p>
        </w:tc>
        <w:tc>
          <w:tcPr>
            <w:tcW w:w="2374" w:type="dxa"/>
            <w:vMerge/>
            <w:tcBorders>
              <w:bottom w:val="single" w:sz="4" w:space="0" w:color="auto"/>
              <w:right w:val="single" w:sz="4" w:space="0" w:color="auto"/>
            </w:tcBorders>
            <w:shd w:val="clear" w:color="auto" w:fill="A89A80"/>
            <w:vAlign w:val="center"/>
          </w:tcPr>
          <w:p w:rsidR="00A12362" w:rsidRPr="001304FC" w:rsidRDefault="00A12362" w:rsidP="00381A89">
            <w:pPr>
              <w:jc w:val="center"/>
              <w:rPr>
                <w:b/>
                <w:sz w:val="28"/>
                <w:szCs w:val="28"/>
                <w:lang w:eastAsia="nb-NO"/>
              </w:rPr>
            </w:pPr>
          </w:p>
        </w:tc>
        <w:tc>
          <w:tcPr>
            <w:tcW w:w="6300" w:type="dxa"/>
            <w:tcBorders>
              <w:top w:val="nil"/>
              <w:left w:val="single" w:sz="4" w:space="0" w:color="auto"/>
              <w:bottom w:val="single" w:sz="4" w:space="0" w:color="auto"/>
              <w:right w:val="single" w:sz="4" w:space="0" w:color="auto"/>
            </w:tcBorders>
            <w:shd w:val="clear" w:color="auto" w:fill="auto"/>
            <w:noWrap/>
          </w:tcPr>
          <w:p w:rsidR="00A12362" w:rsidRPr="00011F73" w:rsidRDefault="00A12362" w:rsidP="00381A89">
            <w:pPr>
              <w:numPr>
                <w:ilvl w:val="0"/>
                <w:numId w:val="15"/>
              </w:numPr>
              <w:spacing w:after="0" w:line="240" w:lineRule="auto"/>
              <w:ind w:left="587" w:hanging="425"/>
              <w:rPr>
                <w:szCs w:val="20"/>
                <w:lang w:eastAsia="nb-NO"/>
              </w:rPr>
            </w:pPr>
            <w:r w:rsidRPr="00011F73">
              <w:rPr>
                <w:szCs w:val="20"/>
                <w:lang w:eastAsia="nb-NO"/>
              </w:rPr>
              <w:t>Andel foretak med vekst i verdiskaping</w:t>
            </w:r>
          </w:p>
          <w:p w:rsidR="00A12362" w:rsidRPr="00011F73" w:rsidRDefault="00A12362" w:rsidP="00381A89">
            <w:pPr>
              <w:numPr>
                <w:ilvl w:val="0"/>
                <w:numId w:val="15"/>
              </w:numPr>
              <w:spacing w:after="0" w:line="240" w:lineRule="auto"/>
              <w:ind w:left="587" w:hanging="425"/>
              <w:rPr>
                <w:szCs w:val="20"/>
                <w:lang w:eastAsia="nb-NO"/>
              </w:rPr>
            </w:pPr>
            <w:r w:rsidRPr="00011F73">
              <w:rPr>
                <w:szCs w:val="20"/>
                <w:lang w:eastAsia="nb-NO"/>
              </w:rPr>
              <w:t>Andel foretak med vekst i verdiskaping, justert for bransjestruktur, bedriftens omsetning og alder.</w:t>
            </w:r>
          </w:p>
        </w:tc>
      </w:tr>
      <w:tr w:rsidR="00A12362" w:rsidRPr="00FF26B4" w:rsidTr="00381A89">
        <w:trPr>
          <w:trHeight w:val="819"/>
        </w:trPr>
        <w:tc>
          <w:tcPr>
            <w:tcW w:w="634" w:type="dxa"/>
            <w:vMerge/>
            <w:shd w:val="clear" w:color="auto" w:fill="0087B3"/>
          </w:tcPr>
          <w:p w:rsidR="00A12362" w:rsidRPr="00332BB4" w:rsidRDefault="00A12362" w:rsidP="00381A89">
            <w:pPr>
              <w:jc w:val="center"/>
              <w:rPr>
                <w:rFonts w:ascii="Times New Roman" w:hAnsi="Times New Roman"/>
                <w:b/>
                <w:sz w:val="28"/>
                <w:szCs w:val="28"/>
                <w:lang w:eastAsia="nb-NO"/>
              </w:rPr>
            </w:pPr>
          </w:p>
        </w:tc>
        <w:tc>
          <w:tcPr>
            <w:tcW w:w="2374" w:type="dxa"/>
            <w:shd w:val="clear" w:color="auto" w:fill="E57B20"/>
            <w:noWrap/>
            <w:vAlign w:val="center"/>
          </w:tcPr>
          <w:p w:rsidR="00A12362" w:rsidRPr="001304FC" w:rsidRDefault="00A12362" w:rsidP="00381A89">
            <w:pPr>
              <w:spacing w:after="0" w:line="240" w:lineRule="auto"/>
              <w:jc w:val="center"/>
              <w:rPr>
                <w:b/>
                <w:sz w:val="28"/>
                <w:szCs w:val="28"/>
                <w:lang w:eastAsia="nb-NO"/>
              </w:rPr>
            </w:pPr>
            <w:r w:rsidRPr="001304FC">
              <w:rPr>
                <w:b/>
                <w:sz w:val="28"/>
                <w:szCs w:val="28"/>
                <w:lang w:eastAsia="nb-NO"/>
              </w:rPr>
              <w:t>Næringslivets størrelse</w:t>
            </w:r>
          </w:p>
        </w:tc>
        <w:tc>
          <w:tcPr>
            <w:tcW w:w="6300" w:type="dxa"/>
            <w:tcBorders>
              <w:top w:val="single" w:sz="4" w:space="0" w:color="auto"/>
            </w:tcBorders>
            <w:shd w:val="clear" w:color="auto" w:fill="auto"/>
            <w:noWrap/>
            <w:vAlign w:val="center"/>
          </w:tcPr>
          <w:p w:rsidR="00A12362" w:rsidRPr="00011F73" w:rsidRDefault="00A12362" w:rsidP="00381A89">
            <w:pPr>
              <w:numPr>
                <w:ilvl w:val="0"/>
                <w:numId w:val="15"/>
              </w:numPr>
              <w:spacing w:after="0" w:line="240" w:lineRule="auto"/>
              <w:ind w:left="587" w:hanging="425"/>
              <w:rPr>
                <w:szCs w:val="20"/>
                <w:lang w:eastAsia="nb-NO"/>
              </w:rPr>
            </w:pPr>
            <w:r w:rsidRPr="00011F73">
              <w:rPr>
                <w:szCs w:val="20"/>
                <w:lang w:eastAsia="nb-NO"/>
              </w:rPr>
              <w:t>Antall arbeidsplasser i næringslivet som andel av befolkningen</w:t>
            </w:r>
          </w:p>
        </w:tc>
      </w:tr>
    </w:tbl>
    <w:p w:rsidR="00A12362" w:rsidRDefault="00A12362" w:rsidP="00A12362"/>
    <w:p w:rsidR="00A12362" w:rsidRDefault="00A12362" w:rsidP="00A12362">
      <w:pPr>
        <w:sectPr w:rsidR="00A12362" w:rsidSect="00381A89">
          <w:type w:val="continuous"/>
          <w:pgSz w:w="11907" w:h="16840" w:code="9"/>
          <w:pgMar w:top="1440" w:right="1080" w:bottom="1440" w:left="1080" w:header="709" w:footer="709" w:gutter="0"/>
          <w:cols w:space="708"/>
          <w:docGrid w:linePitch="360"/>
        </w:sectPr>
      </w:pPr>
    </w:p>
    <w:p w:rsidR="00A12362" w:rsidRDefault="00A12362" w:rsidP="00A12362">
      <w:r>
        <w:lastRenderedPageBreak/>
        <w:t>Nyetableringer i regioner og kommuner blir målt med tre indikatorer.  Den første, etablerings</w:t>
      </w:r>
      <w:r>
        <w:softHyphen/>
      </w:r>
      <w:r>
        <w:softHyphen/>
      </w:r>
      <w:r>
        <w:softHyphen/>
        <w:t>frekvens, måler antall nyregistrerte foretak i forhold til eksisterende antall foretak i begynnelsen av året.  Bransjejustert etablerings</w:t>
      </w:r>
      <w:r>
        <w:softHyphen/>
        <w:t>frekvens er etablerings</w:t>
      </w:r>
      <w:r>
        <w:softHyphen/>
        <w:t>frekvensen fratrukket virkningen av bransje</w:t>
      </w:r>
      <w:r>
        <w:softHyphen/>
        <w:t>strukturen i regioner og kommuner.  Denne indikatoren forteller oss om regionen har få eller mange etableringer når vi tar hensyn til at etableringsfrekvensen varierer mye mellom ulike bransjer.  Den tredje indikatoren er vekst i antall foretak. Dette vil være etablerings</w:t>
      </w:r>
      <w:r>
        <w:softHyphen/>
        <w:t>frekvensen fratrukket frekvensen av nedlagte foretak, samt innflyttede foretak fratrukket utflyttede.</w:t>
      </w:r>
    </w:p>
    <w:p w:rsidR="00A12362" w:rsidRDefault="00A12362" w:rsidP="00A12362">
      <w:r>
        <w:t>Lønnsomheten i regionenes næringsliv blir målt med tre indikatorer. Den første er andel foretak med positivt resultat før skatt.  I tillegg har vi målt andelen lønnsomme foretak justert for bransje</w:t>
      </w:r>
      <w:r>
        <w:softHyphen/>
        <w:t>struktur, bedriftenes omsetning og alder.  Den tredje indikatoren er andel foretak med positiv egenkapital.</w:t>
      </w:r>
    </w:p>
    <w:p w:rsidR="00A12362" w:rsidRDefault="00A12362" w:rsidP="00A12362">
      <w:r>
        <w:lastRenderedPageBreak/>
        <w:t>Vekst i regionene er målt med andel foretak med omsetningsvekst større enn prisstigningen.  Også her har vi en indikator som justerer for bransjes</w:t>
      </w:r>
      <w:r>
        <w:softHyphen/>
        <w:t>truktur, omsetning og alder. Den tredje indikatoren er andel foretak av samtlige regnskapspliktige foretak på stedet, som har vekst i verdiskapingen. Det er også en siste indikator der det er justert for forskjeller i bransjestruktur, omsetning og alder til foretakene.</w:t>
      </w:r>
    </w:p>
    <w:p w:rsidR="00A12362" w:rsidRDefault="00A12362" w:rsidP="00A12362">
      <w:pPr>
        <w:spacing w:after="0"/>
      </w:pPr>
      <w:r>
        <w:t>Indikatoren ”næringslivets størrelse” er antall arbeidsplasser i næringslivet som andel av befolkningen på stedet. For hver indikator rangeres både regioner og kommuner.  Rangeringsnumrene legges så sammen innenfor hver gruppe.  Til slutt summeres rangerings</w:t>
      </w:r>
      <w:r>
        <w:softHyphen/>
        <w:t xml:space="preserve">numrene for de fire indeksene nyetablering, lønnsomhet, vekst og næringslivets størrelse.  Regionen og kommunen som har lavest sum, kommer ut som vinner av </w:t>
      </w:r>
      <w:proofErr w:type="spellStart"/>
      <w:r>
        <w:t>NæringsNM</w:t>
      </w:r>
      <w:proofErr w:type="spellEnd"/>
      <w:r>
        <w:t>.</w:t>
      </w:r>
    </w:p>
    <w:p w:rsidR="00A12362" w:rsidRDefault="00A12362" w:rsidP="00A12362">
      <w:pPr>
        <w:spacing w:after="0" w:line="240" w:lineRule="auto"/>
        <w:sectPr w:rsidR="00A12362" w:rsidSect="00A12362">
          <w:type w:val="continuous"/>
          <w:pgSz w:w="11907" w:h="16840" w:code="9"/>
          <w:pgMar w:top="1440" w:right="1080" w:bottom="1440" w:left="1080" w:header="709" w:footer="709" w:gutter="0"/>
          <w:cols w:num="2" w:space="708"/>
          <w:docGrid w:linePitch="360"/>
        </w:sectPr>
      </w:pPr>
      <w:r>
        <w:br w:type="page"/>
      </w:r>
    </w:p>
    <w:p w:rsidR="00421F3B" w:rsidRDefault="00421F3B" w:rsidP="00421F3B">
      <w:pPr>
        <w:pStyle w:val="Overskrift2"/>
      </w:pPr>
      <w:r>
        <w:lastRenderedPageBreak/>
        <w:t>Nyetableringer</w:t>
      </w:r>
    </w:p>
    <w:p w:rsidR="001D65F5" w:rsidRDefault="00421F3B" w:rsidP="001D65F5">
      <w:r w:rsidRPr="00D86B35">
        <w:t>Etableringsfrekvensen er antall nyetablerte foretak som prosent av antall eksisterende foretak i begynnelsen av året.</w:t>
      </w:r>
      <w:r w:rsidR="004E06E2">
        <w:t xml:space="preserve"> </w:t>
      </w:r>
      <w:r w:rsidRPr="00D86B35">
        <w:t xml:space="preserve">Etableringsfrekvensen i Norge har vært ganske høy i hele perioden fra 2001 til 2006, før den begynte å synke. </w:t>
      </w:r>
      <w:r>
        <w:t>I de siste årene har landets etableringsfrekvens ligget</w:t>
      </w:r>
      <w:r w:rsidR="0023163E">
        <w:t xml:space="preserve"> på</w:t>
      </w:r>
      <w:r>
        <w:t xml:space="preserve"> rundt sju prosent.</w:t>
      </w:r>
      <w:r w:rsidRPr="00915F35">
        <w:t xml:space="preserve"> </w:t>
      </w:r>
      <w:r w:rsidR="001D65F5">
        <w:t>De fleste regionene har derimot hatt en lavere etableringsfrekvens enn landsgjennomsnittet. Etableringsfrekvensen til medianregionen</w:t>
      </w:r>
      <w:r w:rsidR="008C5A9C">
        <w:t xml:space="preserve"> var på 5,9</w:t>
      </w:r>
      <w:r w:rsidR="001D65F5">
        <w:t xml:space="preserve"> prosent i 2013. </w:t>
      </w:r>
      <w:proofErr w:type="spellStart"/>
      <w:r w:rsidR="001D65F5">
        <w:t>Glåmdal</w:t>
      </w:r>
      <w:proofErr w:type="spellEnd"/>
      <w:r w:rsidR="001D65F5">
        <w:t xml:space="preserve"> har hatt en lavere etableringsfrekvens enn </w:t>
      </w:r>
      <w:r w:rsidR="004E06E2">
        <w:t>landsgjennomsnittet</w:t>
      </w:r>
      <w:r w:rsidR="001D65F5">
        <w:t xml:space="preserve"> og medianen i hele perioden vi har målt for. I 2013 var etableringsfrekvensen i </w:t>
      </w:r>
      <w:proofErr w:type="spellStart"/>
      <w:r w:rsidR="001D65F5">
        <w:t>Glåmdal</w:t>
      </w:r>
      <w:proofErr w:type="spellEnd"/>
      <w:r w:rsidR="001D65F5">
        <w:t xml:space="preserve"> nesten like høy som medianverdien. </w:t>
      </w:r>
    </w:p>
    <w:p w:rsidR="006E6B9F" w:rsidRPr="00D86B35" w:rsidRDefault="006E6B9F" w:rsidP="001D65F5">
      <w:pPr>
        <w:pStyle w:val="Overskrift3"/>
      </w:pPr>
      <w:r w:rsidRPr="00D86B35">
        <w:t xml:space="preserve">Etableringsindeksen for </w:t>
      </w:r>
      <w:r>
        <w:t>regionene på Østlandet</w:t>
      </w:r>
    </w:p>
    <w:p w:rsidR="00421F3B" w:rsidRDefault="006E6B9F" w:rsidP="00421F3B">
      <w:r w:rsidRPr="00D86B35">
        <w:t>Etableringsindeksen har t</w:t>
      </w:r>
      <w:r w:rsidR="00362370">
        <w:t>re indikatorer for nyetablering,</w:t>
      </w:r>
      <w:r w:rsidRPr="00D86B35">
        <w:t xml:space="preserve"> etableringsfrekvensen, den bransjejusterte etableringsfrekvensen og vekst i antall foretak. Den bransjejusterte etableringsfrekvensen tar hensyn til bransjestrukturen, og måler etableringsfrekvensen bransje for bransje. Vekst i antall foretak er etableringsfrekvens fratrukket andel nedlagte foretak. Til sammen gir etableringsindeksen et godt bilde på etableringsaktiviteten i regionene.</w:t>
      </w:r>
      <w:r w:rsidR="004E06E2">
        <w:t xml:space="preserve"> </w:t>
      </w:r>
      <w:r w:rsidR="00421F3B">
        <w:t xml:space="preserve">Noe av forskjellen i etableringsfrekvensen mellom </w:t>
      </w:r>
      <w:r w:rsidR="00362370">
        <w:t>regionen</w:t>
      </w:r>
      <w:r w:rsidR="00421F3B">
        <w:t xml:space="preserve"> kan forklares av bransjestrukturen. Enkelte </w:t>
      </w:r>
      <w:r w:rsidR="00362370">
        <w:t>regioner</w:t>
      </w:r>
      <w:r w:rsidR="00421F3B">
        <w:t xml:space="preserve"> har mange foretak i bransjer hvor det er mange nyetableringer, som i tjenesteytende sektor. Andre </w:t>
      </w:r>
      <w:r w:rsidR="00362370">
        <w:t>regioner</w:t>
      </w:r>
      <w:r w:rsidR="00421F3B">
        <w:t xml:space="preserve"> har en stor andel av bedriftene i bransjer med lite nyetablering, som industri og landbruk. Oslo har en fordelaktig næringsstruktur for å få mange nyetableringer.</w:t>
      </w:r>
      <w:r w:rsidR="004E06E2">
        <w:t xml:space="preserve"> </w:t>
      </w:r>
      <w:r w:rsidR="00421F3B">
        <w:t xml:space="preserve">Det kan se ut til at vekst, og spesielt høy vekst i befolkningen, forårsaker høy etableringsfrekvens. Høy etableringsfrekvens har sannsynlig vis mindre effekt på arbeidsplassvekst og dermed på nettoflyttingen. Det er fordi nyetableringene stort sett er små, og utgjør en liten andel av samlet antall ansatte. </w:t>
      </w:r>
    </w:p>
    <w:p w:rsidR="007B7C5D" w:rsidRDefault="004E06E2" w:rsidP="007B7C5D">
      <w:proofErr w:type="spellStart"/>
      <w:r>
        <w:t>Glåmdal</w:t>
      </w:r>
      <w:proofErr w:type="spellEnd"/>
      <w:r>
        <w:t xml:space="preserve"> rangerer omtrent middels på etableringsindeksen. </w:t>
      </w:r>
      <w:proofErr w:type="spellStart"/>
      <w:r>
        <w:t>Glåmdal</w:t>
      </w:r>
      <w:proofErr w:type="spellEnd"/>
      <w:r>
        <w:t xml:space="preserve"> har en over middels etableringsfrekvens når vi justerer for </w:t>
      </w:r>
      <w:r>
        <w:lastRenderedPageBreak/>
        <w:t>bransjestrukturen.</w:t>
      </w:r>
      <w:r w:rsidR="00421F3B">
        <w:br w:type="column"/>
      </w:r>
      <w:r w:rsidR="00B759A6">
        <w:rPr>
          <w:noProof/>
          <w:lang w:eastAsia="nb-NO"/>
        </w:rPr>
        <w:lastRenderedPageBreak/>
        <w:drawing>
          <wp:inline distT="0" distB="0" distL="0" distR="0">
            <wp:extent cx="2869565" cy="2433099"/>
            <wp:effectExtent l="0" t="0" r="6985" b="57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76E6D" w:rsidRDefault="007B7C5D" w:rsidP="00837DE3">
      <w:pPr>
        <w:pStyle w:val="Bildetekst"/>
      </w:pPr>
      <w:r>
        <w:t xml:space="preserve">Figur </w:t>
      </w:r>
      <w:r w:rsidR="004B3D9E">
        <w:fldChar w:fldCharType="begin"/>
      </w:r>
      <w:r>
        <w:instrText xml:space="preserve"> SEQ Figur \* ARABIC </w:instrText>
      </w:r>
      <w:r w:rsidR="004B3D9E">
        <w:fldChar w:fldCharType="separate"/>
      </w:r>
      <w:r w:rsidR="00CD5BFF">
        <w:rPr>
          <w:noProof/>
        </w:rPr>
        <w:t>77</w:t>
      </w:r>
      <w:r w:rsidR="004B3D9E">
        <w:fldChar w:fldCharType="end"/>
      </w:r>
      <w:r>
        <w:t xml:space="preserve">: </w:t>
      </w:r>
      <w:r w:rsidR="00837DE3" w:rsidRPr="00D86B35">
        <w:t xml:space="preserve">Etableringsfrekvensen i </w:t>
      </w:r>
      <w:proofErr w:type="spellStart"/>
      <w:r w:rsidR="00837DE3">
        <w:t>Glåmdal</w:t>
      </w:r>
      <w:proofErr w:type="spellEnd"/>
      <w:r w:rsidR="00837DE3">
        <w:t>, Norge</w:t>
      </w:r>
      <w:r w:rsidR="00837DE3" w:rsidRPr="00D86B35">
        <w:t xml:space="preserve"> og medianen av </w:t>
      </w:r>
      <w:r w:rsidR="00837DE3">
        <w:t>regionene i Norge i perioden 2001-2013</w:t>
      </w:r>
      <w:r w:rsidR="00837DE3" w:rsidRPr="00D86B35">
        <w:t>.</w:t>
      </w:r>
    </w:p>
    <w:p w:rsidR="00376E6D" w:rsidRPr="00376E6D" w:rsidRDefault="00992CCA" w:rsidP="00376E6D">
      <w:r>
        <w:rPr>
          <w:noProof/>
          <w:lang w:eastAsia="nb-NO"/>
        </w:rPr>
        <w:lastRenderedPageBreak/>
        <w:drawing>
          <wp:inline distT="0" distB="0" distL="0" distR="0">
            <wp:extent cx="2869565" cy="4969510"/>
            <wp:effectExtent l="0" t="0" r="6985" b="254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A12362" w:rsidRDefault="004A6A4E" w:rsidP="00992CCA">
      <w:pPr>
        <w:pStyle w:val="Bildetekst"/>
        <w:rPr>
          <w:rFonts w:eastAsia="Times New Roman"/>
          <w:sz w:val="32"/>
          <w:szCs w:val="20"/>
        </w:rPr>
        <w:sectPr w:rsidR="00A12362" w:rsidSect="00421F3B">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78</w:t>
      </w:r>
      <w:r w:rsidR="004B3D9E">
        <w:fldChar w:fldCharType="end"/>
      </w:r>
      <w:r>
        <w:t xml:space="preserve">: </w:t>
      </w:r>
      <w:r w:rsidRPr="00D86B35">
        <w:t xml:space="preserve">Etableringsindeksen for </w:t>
      </w:r>
      <w:r>
        <w:t>regionene på Østlandet</w:t>
      </w:r>
      <w:r w:rsidRPr="00D86B35">
        <w:t xml:space="preserve">, med rangeringsnummer for hver av indikatorene. Rangering for etableringsindeksen </w:t>
      </w:r>
      <w:r>
        <w:t xml:space="preserve">blant 83 regioner </w:t>
      </w:r>
      <w:r w:rsidRPr="00D86B35">
        <w:t>er vist helt til venstre. I parentes er rangeringen for etableringsindeksen siste ti år.</w:t>
      </w:r>
      <w:r>
        <w:t xml:space="preserve"> </w:t>
      </w:r>
      <w:r w:rsidR="006329D2">
        <w:rPr>
          <w:rFonts w:eastAsia="Times New Roman"/>
          <w:sz w:val="32"/>
          <w:szCs w:val="20"/>
        </w:rPr>
        <w:br w:type="page"/>
      </w:r>
    </w:p>
    <w:p w:rsidR="00601EE9" w:rsidRPr="00D86B35" w:rsidRDefault="00601EE9" w:rsidP="00601EE9">
      <w:pPr>
        <w:pStyle w:val="Overskrift2"/>
        <w:tabs>
          <w:tab w:val="clear" w:pos="-1126"/>
          <w:tab w:val="left" w:pos="360"/>
        </w:tabs>
        <w:spacing w:before="120" w:after="120" w:line="240" w:lineRule="auto"/>
        <w:ind w:right="-425"/>
      </w:pPr>
      <w:r w:rsidRPr="00D86B35">
        <w:lastRenderedPageBreak/>
        <w:t>Lønnsomhet</w:t>
      </w:r>
    </w:p>
    <w:p w:rsidR="00601EE9" w:rsidRPr="00D86B35" w:rsidRDefault="00601EE9" w:rsidP="00601EE9">
      <w:r w:rsidRPr="00D86B35">
        <w:t xml:space="preserve">Lønnsomheten i næringslivet måles som andel av foretakene med positivt resultat før skatt. Med denne metoden teller små og store foretak likt. </w:t>
      </w:r>
    </w:p>
    <w:p w:rsidR="00601EE9" w:rsidRDefault="00601EE9" w:rsidP="00601EE9">
      <w:r w:rsidRPr="00D86B35">
        <w:t xml:space="preserve">Lønnsomheten i norsk næringsliv var på topp i årene fra 2004 til 2007. I 2008 sank lønnsomheten brått, </w:t>
      </w:r>
      <w:r>
        <w:t>for deretter å stige</w:t>
      </w:r>
      <w:r w:rsidRPr="00D86B35">
        <w:t xml:space="preserve"> de </w:t>
      </w:r>
      <w:r>
        <w:t>tre neste årene. I 2013 hadde 68,9</w:t>
      </w:r>
      <w:r w:rsidRPr="00D86B35">
        <w:t xml:space="preserve"> prosent av alle regnskapspliktige foretak </w:t>
      </w:r>
      <w:r>
        <w:t>positivt resultat før skatt, noe som var en liten nedgang fra 2012.</w:t>
      </w:r>
    </w:p>
    <w:p w:rsidR="00601EE9" w:rsidRDefault="00134EAE" w:rsidP="00601EE9">
      <w:r>
        <w:t xml:space="preserve">Andelen lønnsomme foretak i </w:t>
      </w:r>
      <w:proofErr w:type="spellStart"/>
      <w:r>
        <w:t>Glåmdal</w:t>
      </w:r>
      <w:proofErr w:type="spellEnd"/>
      <w:r>
        <w:t xml:space="preserve"> var på 66,8 prosent, en andel som er litt under middels. Andelen lønnsomme foretak i </w:t>
      </w:r>
      <w:proofErr w:type="spellStart"/>
      <w:r>
        <w:t>Glåmdal</w:t>
      </w:r>
      <w:proofErr w:type="spellEnd"/>
      <w:r>
        <w:t xml:space="preserve"> har stort sett fulgt andelen på landsbasis og enten vært lik eller litt lavere. I 2002 var andelen lønnsomme foretak i </w:t>
      </w:r>
      <w:proofErr w:type="spellStart"/>
      <w:r>
        <w:t>Glåmdal</w:t>
      </w:r>
      <w:proofErr w:type="spellEnd"/>
      <w:r>
        <w:t xml:space="preserve"> noe høyere enn på landsbasis. </w:t>
      </w:r>
    </w:p>
    <w:p w:rsidR="001A7190" w:rsidRPr="00D86B35" w:rsidRDefault="001A7190" w:rsidP="00601EE9"/>
    <w:p w:rsidR="00601EE9" w:rsidRPr="00D86B35" w:rsidRDefault="00601EE9" w:rsidP="00601EE9">
      <w:pPr>
        <w:pStyle w:val="Overskrift3"/>
        <w:tabs>
          <w:tab w:val="clear" w:pos="170"/>
          <w:tab w:val="clear" w:pos="284"/>
        </w:tabs>
        <w:spacing w:before="480"/>
        <w:ind w:left="720" w:hanging="720"/>
      </w:pPr>
      <w:r w:rsidRPr="00D86B35">
        <w:t xml:space="preserve">Lønnsomhetsindeksen for </w:t>
      </w:r>
      <w:r w:rsidR="0060404E">
        <w:t>regioner på Østlandet</w:t>
      </w:r>
    </w:p>
    <w:p w:rsidR="00601EE9" w:rsidRDefault="005224A5" w:rsidP="00601EE9">
      <w:r>
        <w:t>I figuren til høyre</w:t>
      </w:r>
      <w:r w:rsidR="00601EE9" w:rsidRPr="00D86B35">
        <w:t xml:space="preserve"> ser vi hvordan </w:t>
      </w:r>
      <w:r w:rsidR="005F65EE">
        <w:t>regionene</w:t>
      </w:r>
      <w:r w:rsidR="00601EE9" w:rsidRPr="00D86B35">
        <w:t xml:space="preserve"> gjør det på lønnsomhetsindeksen i 201</w:t>
      </w:r>
      <w:r w:rsidR="00601EE9">
        <w:t>3</w:t>
      </w:r>
      <w:r w:rsidR="00601EE9" w:rsidRPr="00D86B35">
        <w:t>. Lønnsomhetsindeksen er sammensatt av tre indikatorer; andel foretak med positivt resultat, andelen av f</w:t>
      </w:r>
      <w:r w:rsidR="00601EE9">
        <w:t>oretak med positiv egenkapital, og andel lønnsomme foretak justert for bransje, størrelse og alder på foretakene.</w:t>
      </w:r>
    </w:p>
    <w:p w:rsidR="005F65EE" w:rsidRDefault="005F65EE" w:rsidP="00601EE9">
      <w:r>
        <w:t xml:space="preserve">I de siste ti årene frem til i fjor rangerte </w:t>
      </w:r>
      <w:proofErr w:type="spellStart"/>
      <w:r>
        <w:t>Glåmdal</w:t>
      </w:r>
      <w:proofErr w:type="spellEnd"/>
      <w:r>
        <w:t xml:space="preserve"> omtrent middels blant regionene. </w:t>
      </w:r>
      <w:proofErr w:type="spellStart"/>
      <w:r>
        <w:t>Glåmdal</w:t>
      </w:r>
      <w:proofErr w:type="spellEnd"/>
      <w:r>
        <w:t xml:space="preserve"> har derimot fått en lavere plassering på lønnsomhetsindeksen for 2013. </w:t>
      </w:r>
      <w:r w:rsidR="0033406C">
        <w:t xml:space="preserve">Det er indikatoren for egenkapital som trekker den samlede plasseringen ned. </w:t>
      </w:r>
      <w:r w:rsidR="006F3064">
        <w:t>E</w:t>
      </w:r>
      <w:r w:rsidR="0033406C">
        <w:t xml:space="preserve">n forholdsvis lav andel av foretakene hadde positiv egenkapital i 2013. </w:t>
      </w:r>
    </w:p>
    <w:p w:rsidR="002C1482" w:rsidRPr="00D86B35" w:rsidRDefault="002C1482" w:rsidP="00601EE9">
      <w:r>
        <w:t xml:space="preserve">Både Fjellregionene og Hamarregionen gjør det bra på lønnsomhetsindeksen. </w:t>
      </w:r>
      <w:r w:rsidR="00843779">
        <w:t xml:space="preserve"> </w:t>
      </w:r>
    </w:p>
    <w:p w:rsidR="004E06E2" w:rsidRDefault="00601EE9" w:rsidP="004E06E2">
      <w:r>
        <w:br w:type="column"/>
      </w:r>
      <w:r w:rsidR="00610B32">
        <w:rPr>
          <w:noProof/>
          <w:lang w:eastAsia="nb-NO"/>
        </w:rPr>
        <w:lastRenderedPageBreak/>
        <w:drawing>
          <wp:inline distT="0" distB="0" distL="0" distR="0">
            <wp:extent cx="2869565" cy="2154803"/>
            <wp:effectExtent l="0" t="0" r="6985"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601EE9" w:rsidRDefault="00610B32" w:rsidP="00610B32">
      <w:pPr>
        <w:pStyle w:val="Bildetekst"/>
      </w:pPr>
      <w:r>
        <w:t xml:space="preserve">Figur </w:t>
      </w:r>
      <w:r w:rsidR="004B3D9E">
        <w:fldChar w:fldCharType="begin"/>
      </w:r>
      <w:r>
        <w:instrText xml:space="preserve"> SEQ Figur \* ARABIC </w:instrText>
      </w:r>
      <w:r w:rsidR="004B3D9E">
        <w:fldChar w:fldCharType="separate"/>
      </w:r>
      <w:r w:rsidR="00CD5BFF">
        <w:rPr>
          <w:noProof/>
        </w:rPr>
        <w:t>79</w:t>
      </w:r>
      <w:r w:rsidR="004B3D9E">
        <w:fldChar w:fldCharType="end"/>
      </w:r>
      <w:r>
        <w:t xml:space="preserve">: </w:t>
      </w:r>
      <w:r w:rsidRPr="00D86B35">
        <w:t xml:space="preserve">Prosentvis andel foretak med positivt resultat før skatt i </w:t>
      </w:r>
      <w:proofErr w:type="spellStart"/>
      <w:r>
        <w:t>Glåmdal</w:t>
      </w:r>
      <w:proofErr w:type="spellEnd"/>
      <w:r w:rsidRPr="00D86B35">
        <w:t xml:space="preserve"> sammenliknet med </w:t>
      </w:r>
      <w:r>
        <w:t xml:space="preserve">Norge og </w:t>
      </w:r>
      <w:r w:rsidRPr="00D86B35">
        <w:t xml:space="preserve">medianen av </w:t>
      </w:r>
      <w:r>
        <w:t>regionene</w:t>
      </w:r>
      <w:r w:rsidRPr="00D86B35">
        <w:t xml:space="preserve"> i Norge i perioden 2000-2012.</w:t>
      </w:r>
    </w:p>
    <w:p w:rsidR="00D10B0C" w:rsidRDefault="00DC6962" w:rsidP="004E06E2">
      <w:r>
        <w:rPr>
          <w:noProof/>
          <w:lang w:eastAsia="nb-NO"/>
        </w:rPr>
        <w:drawing>
          <wp:inline distT="0" distB="0" distL="0" distR="0">
            <wp:extent cx="2869565" cy="5176300"/>
            <wp:effectExtent l="0" t="0" r="6985" b="571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01EE9" w:rsidRDefault="00200EFB" w:rsidP="00200EFB">
      <w:pPr>
        <w:pStyle w:val="Bildetekst"/>
        <w:sectPr w:rsidR="00601EE9" w:rsidSect="00601EE9">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80</w:t>
      </w:r>
      <w:r w:rsidR="004B3D9E">
        <w:fldChar w:fldCharType="end"/>
      </w:r>
      <w:r>
        <w:t xml:space="preserve">: </w:t>
      </w:r>
      <w:r w:rsidRPr="00D86B35">
        <w:t xml:space="preserve">Lønnsomhetsindeksen for </w:t>
      </w:r>
      <w:r>
        <w:t>regionene på Østlandet</w:t>
      </w:r>
      <w:r w:rsidRPr="00D86B35">
        <w:t xml:space="preserve">. Rangering </w:t>
      </w:r>
      <w:r>
        <w:t xml:space="preserve">for 2013 </w:t>
      </w:r>
      <w:r w:rsidRPr="00D86B35">
        <w:t xml:space="preserve">blant </w:t>
      </w:r>
      <w:r>
        <w:t xml:space="preserve">83 regioner </w:t>
      </w:r>
      <w:r w:rsidRPr="00D86B35">
        <w:t>til venstre, og rangering siste ti år i parentes. Rangering for de tre lønnsomhetsindikatorene vises i figuren.</w:t>
      </w:r>
      <w:r w:rsidR="004E06E2">
        <w:br w:type="page"/>
      </w:r>
    </w:p>
    <w:p w:rsidR="006B7491" w:rsidRPr="00D86B35" w:rsidRDefault="006B7491" w:rsidP="006B7491">
      <w:pPr>
        <w:pStyle w:val="Overskrift2"/>
        <w:tabs>
          <w:tab w:val="clear" w:pos="-1126"/>
          <w:tab w:val="left" w:pos="360"/>
        </w:tabs>
        <w:spacing w:before="120" w:after="120" w:line="240" w:lineRule="auto"/>
        <w:ind w:right="-425"/>
      </w:pPr>
      <w:r w:rsidRPr="00D86B35">
        <w:lastRenderedPageBreak/>
        <w:t>Vekst</w:t>
      </w:r>
    </w:p>
    <w:p w:rsidR="006B7491" w:rsidRPr="00D86B35" w:rsidRDefault="006B7491" w:rsidP="006B7491">
      <w:r w:rsidRPr="00D86B35">
        <w:t xml:space="preserve">Andel vekstforetak i Norge var rekordhøyt i 2007, da 65,2 prosent av foretakene hadde omsetningsvekst høyere enn prisstigningen. Andel vekstforetak sank deretter dramatisk de to neste årene, og var på 47,5 prosent i 2009. Etter dette </w:t>
      </w:r>
      <w:r>
        <w:t xml:space="preserve">tok </w:t>
      </w:r>
      <w:r w:rsidRPr="00D86B35">
        <w:t>andel</w:t>
      </w:r>
      <w:r>
        <w:t>en</w:t>
      </w:r>
      <w:r w:rsidRPr="00D86B35">
        <w:t xml:space="preserve"> vekstforetak seg opp, men </w:t>
      </w:r>
      <w:r>
        <w:t>falt ganske mye fra 2012 til 2013</w:t>
      </w:r>
      <w:r w:rsidRPr="00D86B35">
        <w:t>. I 201</w:t>
      </w:r>
      <w:r>
        <w:t>3</w:t>
      </w:r>
      <w:r w:rsidRPr="00D86B35">
        <w:t xml:space="preserve"> hadde </w:t>
      </w:r>
      <w:r>
        <w:t>50</w:t>
      </w:r>
      <w:r w:rsidRPr="00D86B35">
        <w:t>,</w:t>
      </w:r>
      <w:r>
        <w:t>5</w:t>
      </w:r>
      <w:r w:rsidRPr="00D86B35">
        <w:t xml:space="preserve"> prosent av alle foretakene i Norge omsetningsvekst høyere enn prisstigningen.</w:t>
      </w:r>
    </w:p>
    <w:p w:rsidR="006B7491" w:rsidRPr="00D86B35" w:rsidRDefault="00A67E4A" w:rsidP="006B7491">
      <w:r>
        <w:t xml:space="preserve">Andelen vekstforetak i </w:t>
      </w:r>
      <w:proofErr w:type="spellStart"/>
      <w:r>
        <w:t>Glåmdal</w:t>
      </w:r>
      <w:proofErr w:type="spellEnd"/>
      <w:r>
        <w:t xml:space="preserve"> har vært mer eller mindre like høy som Norges i mange år. I de siste årene har andelen vært noe lavere i </w:t>
      </w:r>
      <w:proofErr w:type="spellStart"/>
      <w:r>
        <w:t>Glåmdal</w:t>
      </w:r>
      <w:proofErr w:type="spellEnd"/>
      <w:r>
        <w:t xml:space="preserve">. I 2013 var andelen omtrent like høy. </w:t>
      </w:r>
      <w:r w:rsidR="002A5FEB">
        <w:t xml:space="preserve"> </w:t>
      </w:r>
    </w:p>
    <w:p w:rsidR="006B7491" w:rsidRPr="00D86B35" w:rsidRDefault="006B7491" w:rsidP="006B7491">
      <w:pPr>
        <w:pStyle w:val="Overskrift3"/>
        <w:tabs>
          <w:tab w:val="clear" w:pos="170"/>
          <w:tab w:val="clear" w:pos="284"/>
        </w:tabs>
        <w:spacing w:before="480"/>
        <w:ind w:left="720" w:hanging="720"/>
      </w:pPr>
      <w:r w:rsidRPr="00D86B35">
        <w:t xml:space="preserve">Vekstindeksen for </w:t>
      </w:r>
      <w:r>
        <w:t>regionene på Østlandet</w:t>
      </w:r>
    </w:p>
    <w:p w:rsidR="006B7491" w:rsidRDefault="006B7491" w:rsidP="006B7491">
      <w:r w:rsidRPr="00D86B35">
        <w:t xml:space="preserve">Vi måler veksten i næringslivet i </w:t>
      </w:r>
      <w:r w:rsidR="00381A89">
        <w:t>regionene</w:t>
      </w:r>
      <w:r w:rsidRPr="00D86B35">
        <w:t xml:space="preserve"> ved hjelp av </w:t>
      </w:r>
      <w:r>
        <w:t>fire</w:t>
      </w:r>
      <w:r w:rsidRPr="00D86B35">
        <w:t xml:space="preserve"> indikatorer. Den første indikatoren er andel foretak med omsetningsvekst høyere enn prisstigningen. Den andre indikatoren er andel vekstforetak, justert for </w:t>
      </w:r>
      <w:r>
        <w:t>foretakenes bransje, størrelse og alder</w:t>
      </w:r>
      <w:r w:rsidRPr="00D86B35">
        <w:t xml:space="preserve">. Den tredje indikatoren er andel foretak med vekst i verdiskapingen. </w:t>
      </w:r>
      <w:r>
        <w:t xml:space="preserve">Den siste er justert andel med vekst i verdiskaping. </w:t>
      </w:r>
      <w:r w:rsidRPr="00D86B35">
        <w:t xml:space="preserve">Den endelige vekstindeksen er basert på kommunenes rangering med hensyn til de </w:t>
      </w:r>
      <w:r>
        <w:t>fire</w:t>
      </w:r>
      <w:r w:rsidRPr="00D86B35">
        <w:t xml:space="preserve"> vekstindikatorene.</w:t>
      </w:r>
    </w:p>
    <w:p w:rsidR="00E40C0F" w:rsidRDefault="006B7491" w:rsidP="006B7491">
      <w:r w:rsidRPr="00D86B35">
        <w:t>Vekstindeksen varierer ganske mye fra år til år, og en skal dermed ikke legge så mye vekt på et enkelt år, men svært lave verdier på vekstindeksen over en tiårsperiode er et dårlig tegn.</w:t>
      </w:r>
      <w:r>
        <w:t xml:space="preserve"> </w:t>
      </w:r>
    </w:p>
    <w:p w:rsidR="00387632" w:rsidRDefault="00B33271" w:rsidP="007C2ADF">
      <w:proofErr w:type="spellStart"/>
      <w:r>
        <w:t>Glåmdal</w:t>
      </w:r>
      <w:proofErr w:type="spellEnd"/>
      <w:r>
        <w:t xml:space="preserve"> fikk en over middels høy plassering på vekstindeksen i 2013. Plasseringen i år er bedre enn de ti foregående årene. </w:t>
      </w:r>
    </w:p>
    <w:p w:rsidR="00B33271" w:rsidRDefault="00B33271" w:rsidP="007C2ADF">
      <w:r>
        <w:t xml:space="preserve">Det er på indikatoren for justert verdiskapning </w:t>
      </w:r>
      <w:proofErr w:type="spellStart"/>
      <w:r>
        <w:t>Glåmdal</w:t>
      </w:r>
      <w:proofErr w:type="spellEnd"/>
      <w:r>
        <w:t xml:space="preserve"> gjør det relativt best. </w:t>
      </w:r>
      <w:proofErr w:type="spellStart"/>
      <w:r w:rsidR="000025DE">
        <w:t>Glåmdal</w:t>
      </w:r>
      <w:proofErr w:type="spellEnd"/>
      <w:r w:rsidR="000025DE">
        <w:t xml:space="preserve"> ser seg imidlertid forbigått av de øvrige regionene i Hedmark på vekstindeksen. </w:t>
      </w:r>
    </w:p>
    <w:p w:rsidR="00387632" w:rsidRDefault="00387632" w:rsidP="007C2ADF"/>
    <w:p w:rsidR="007C2ADF" w:rsidRDefault="00F50655" w:rsidP="007C2ADF">
      <w:r>
        <w:br w:type="column"/>
      </w:r>
      <w:r w:rsidR="00156FAE">
        <w:rPr>
          <w:noProof/>
          <w:lang w:eastAsia="nb-NO"/>
        </w:rPr>
        <w:lastRenderedPageBreak/>
        <w:drawing>
          <wp:inline distT="0" distB="0" distL="0" distR="0">
            <wp:extent cx="2869565" cy="2067339"/>
            <wp:effectExtent l="0" t="0" r="698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C96D08" w:rsidRDefault="00C96D08" w:rsidP="00C96D08">
      <w:pPr>
        <w:pStyle w:val="Bildetekst"/>
      </w:pPr>
      <w:r>
        <w:t xml:space="preserve">Figur </w:t>
      </w:r>
      <w:r w:rsidR="004B3D9E">
        <w:fldChar w:fldCharType="begin"/>
      </w:r>
      <w:r>
        <w:instrText xml:space="preserve"> SEQ Figur \* ARABIC </w:instrText>
      </w:r>
      <w:r w:rsidR="004B3D9E">
        <w:fldChar w:fldCharType="separate"/>
      </w:r>
      <w:r w:rsidR="00CD5BFF">
        <w:rPr>
          <w:noProof/>
        </w:rPr>
        <w:t>81</w:t>
      </w:r>
      <w:r w:rsidR="004B3D9E">
        <w:fldChar w:fldCharType="end"/>
      </w:r>
      <w:r>
        <w:t xml:space="preserve">: </w:t>
      </w:r>
      <w:r w:rsidR="00BE6FD5" w:rsidRPr="00D86B35">
        <w:t xml:space="preserve">Andel foretak med omsetningsvekst høyere enn prisstigningen i </w:t>
      </w:r>
      <w:proofErr w:type="spellStart"/>
      <w:r w:rsidR="00BE6FD5">
        <w:t>Glåmdal</w:t>
      </w:r>
      <w:proofErr w:type="spellEnd"/>
      <w:r w:rsidR="00BE6FD5">
        <w:t>, Norge</w:t>
      </w:r>
      <w:r w:rsidR="00BE6FD5" w:rsidRPr="00D86B35">
        <w:t xml:space="preserve"> og medianen av </w:t>
      </w:r>
      <w:r w:rsidR="00BE6FD5">
        <w:t>regionene</w:t>
      </w:r>
      <w:r w:rsidR="00BE6FD5" w:rsidRPr="00D86B35">
        <w:t xml:space="preserve"> i Norge.</w:t>
      </w:r>
    </w:p>
    <w:p w:rsidR="00C96D08" w:rsidRDefault="00E85DEF" w:rsidP="00C96D08">
      <w:r>
        <w:rPr>
          <w:noProof/>
          <w:lang w:eastAsia="nb-NO"/>
        </w:rPr>
        <w:drawing>
          <wp:inline distT="0" distB="0" distL="0" distR="0">
            <wp:extent cx="2869565" cy="5216056"/>
            <wp:effectExtent l="0" t="0" r="6985" b="38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50655" w:rsidRDefault="00C96D08" w:rsidP="00F47BE1">
      <w:pPr>
        <w:pStyle w:val="Bildetekst"/>
        <w:sectPr w:rsidR="00F50655" w:rsidSect="00601EE9">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82</w:t>
      </w:r>
      <w:r w:rsidR="004B3D9E">
        <w:fldChar w:fldCharType="end"/>
      </w:r>
      <w:r>
        <w:t xml:space="preserve">: </w:t>
      </w:r>
      <w:r w:rsidR="00BB5FAB" w:rsidRPr="00D86B35">
        <w:t xml:space="preserve">Vekstindeksen for </w:t>
      </w:r>
      <w:r w:rsidR="00BB5FAB">
        <w:t>regionene på Østlandet</w:t>
      </w:r>
      <w:r w:rsidR="00BB5FAB" w:rsidRPr="00D86B35">
        <w:t xml:space="preserve">. Rangering </w:t>
      </w:r>
      <w:r w:rsidR="00F47BE1">
        <w:t xml:space="preserve">blant </w:t>
      </w:r>
      <w:r w:rsidR="005B3F4A">
        <w:t>80 regioner</w:t>
      </w:r>
      <w:r w:rsidR="00BB5FAB" w:rsidRPr="00D86B35">
        <w:t xml:space="preserve"> i 201</w:t>
      </w:r>
      <w:r w:rsidR="00BB5FAB">
        <w:t>3</w:t>
      </w:r>
      <w:r w:rsidR="00BB5FAB" w:rsidRPr="00D86B35">
        <w:t xml:space="preserve"> til venstre, og rangering siste ti år i parentes. Rangering for de tre vekstindikatorene vises i figuren.</w:t>
      </w:r>
      <w:r w:rsidR="00F47BE1">
        <w:t xml:space="preserve"> </w:t>
      </w:r>
      <w:r w:rsidR="007C2ADF">
        <w:br w:type="page"/>
      </w:r>
    </w:p>
    <w:p w:rsidR="005B5657" w:rsidRPr="00D86B35" w:rsidRDefault="005B5657" w:rsidP="005B5657">
      <w:pPr>
        <w:pStyle w:val="Overskrift2"/>
        <w:tabs>
          <w:tab w:val="clear" w:pos="-1126"/>
          <w:tab w:val="left" w:pos="360"/>
        </w:tabs>
        <w:spacing w:before="120" w:after="120" w:line="240" w:lineRule="auto"/>
        <w:ind w:right="-425"/>
      </w:pPr>
      <w:proofErr w:type="spellStart"/>
      <w:r w:rsidRPr="00D86B35">
        <w:lastRenderedPageBreak/>
        <w:t>NæringsNM</w:t>
      </w:r>
      <w:proofErr w:type="spellEnd"/>
      <w:r w:rsidRPr="00D86B35">
        <w:t xml:space="preserve"> </w:t>
      </w:r>
    </w:p>
    <w:p w:rsidR="005B5657" w:rsidRPr="00D86B35" w:rsidRDefault="005B5657" w:rsidP="005B5657">
      <w:proofErr w:type="spellStart"/>
      <w:r w:rsidRPr="00D86B35">
        <w:t>NæringsNM</w:t>
      </w:r>
      <w:proofErr w:type="spellEnd"/>
      <w:r w:rsidRPr="00D86B35">
        <w:t xml:space="preserve"> er en rangering av kommuner, regioner og fylker basert på et sett med </w:t>
      </w:r>
      <w:r>
        <w:t>11</w:t>
      </w:r>
      <w:r w:rsidRPr="00D86B35">
        <w:t xml:space="preserve"> indikatorer for nyetableringer, lønnsomhet, vekst og næringslivets størrelse. Formålet er å komme fram til et mål som forteller hvordan næringslivet samlet sett gjør det i en </w:t>
      </w:r>
      <w:r>
        <w:t>kommune, region eller fylke</w:t>
      </w:r>
      <w:r w:rsidRPr="00D86B35">
        <w:t xml:space="preserve">. Telemarksforsking har utarbeidet </w:t>
      </w:r>
      <w:proofErr w:type="spellStart"/>
      <w:r w:rsidRPr="00D86B35">
        <w:t>NæringsNM</w:t>
      </w:r>
      <w:proofErr w:type="spellEnd"/>
      <w:r w:rsidRPr="00D86B35">
        <w:t xml:space="preserve"> for NHO de siste </w:t>
      </w:r>
      <w:r>
        <w:t>elleve</w:t>
      </w:r>
      <w:r w:rsidRPr="00D86B35">
        <w:t xml:space="preserve"> årene. </w:t>
      </w:r>
    </w:p>
    <w:p w:rsidR="005B5657" w:rsidRPr="00D86B35" w:rsidRDefault="005B5657" w:rsidP="005B5657">
      <w:r w:rsidRPr="00D86B35">
        <w:t xml:space="preserve">Figur </w:t>
      </w:r>
      <w:r w:rsidR="00EF08E1">
        <w:t>83</w:t>
      </w:r>
      <w:r w:rsidRPr="00D86B35">
        <w:t xml:space="preserve"> viser plasseringen til </w:t>
      </w:r>
      <w:proofErr w:type="spellStart"/>
      <w:r w:rsidR="001D2DCF">
        <w:t>Glåmdal</w:t>
      </w:r>
      <w:proofErr w:type="spellEnd"/>
      <w:r w:rsidRPr="00D86B35">
        <w:t xml:space="preserve"> i årene 2000-201</w:t>
      </w:r>
      <w:r>
        <w:t>3</w:t>
      </w:r>
      <w:r w:rsidRPr="00D86B35">
        <w:t xml:space="preserve">. </w:t>
      </w:r>
      <w:proofErr w:type="spellStart"/>
      <w:r w:rsidR="001A639A">
        <w:t>Glåmdal</w:t>
      </w:r>
      <w:proofErr w:type="spellEnd"/>
      <w:r w:rsidR="001A639A">
        <w:t xml:space="preserve"> kom på en 63. plass blant 80 regioner. Det er et godt stykke under middels, men en klar forbedring fra årene før. </w:t>
      </w:r>
      <w:proofErr w:type="spellStart"/>
      <w:r w:rsidR="001A639A">
        <w:t>Glåmdal</w:t>
      </w:r>
      <w:proofErr w:type="spellEnd"/>
      <w:r w:rsidR="001A639A">
        <w:t xml:space="preserve"> kom på sisteplass i 2009, men deretter har det gått oppover. </w:t>
      </w:r>
    </w:p>
    <w:p w:rsidR="005B5657" w:rsidRPr="00D86B35" w:rsidRDefault="005B5657" w:rsidP="005B5657">
      <w:pPr>
        <w:pStyle w:val="Overskrift3"/>
        <w:tabs>
          <w:tab w:val="clear" w:pos="170"/>
          <w:tab w:val="clear" w:pos="284"/>
        </w:tabs>
        <w:spacing w:before="480"/>
        <w:ind w:left="720" w:hanging="720"/>
      </w:pPr>
      <w:r>
        <w:t>Regionene på Østlandet</w:t>
      </w:r>
    </w:p>
    <w:p w:rsidR="00C94363" w:rsidRDefault="00232E62" w:rsidP="00C94363">
      <w:r>
        <w:t xml:space="preserve">Det er stor variasjon </w:t>
      </w:r>
      <w:r w:rsidR="00A03996">
        <w:t xml:space="preserve">blant regionene på Østlandet i hvordan de gjør det i </w:t>
      </w:r>
      <w:proofErr w:type="spellStart"/>
      <w:r w:rsidR="00A03996">
        <w:t>NæringsNM</w:t>
      </w:r>
      <w:proofErr w:type="spellEnd"/>
      <w:r w:rsidR="00A03996">
        <w:t xml:space="preserve">. Øvre Romerike gjorde det best på Østlandet, og kom på 3. plass nasjonalt. Øst-Telemark gjorde det aller dårligst i årets </w:t>
      </w:r>
      <w:proofErr w:type="spellStart"/>
      <w:r w:rsidR="00A03996">
        <w:t>NæringsNM</w:t>
      </w:r>
      <w:proofErr w:type="spellEnd"/>
      <w:r w:rsidR="00A03996">
        <w:t xml:space="preserve">. </w:t>
      </w:r>
    </w:p>
    <w:p w:rsidR="00A03996" w:rsidRDefault="00A03996" w:rsidP="00C94363">
      <w:proofErr w:type="spellStart"/>
      <w:r>
        <w:t>Glåmdal</w:t>
      </w:r>
      <w:proofErr w:type="spellEnd"/>
      <w:r>
        <w:t xml:space="preserve"> kom, som vi så over, på en 63. plass i årets </w:t>
      </w:r>
      <w:proofErr w:type="spellStart"/>
      <w:r>
        <w:t>NæringsNM</w:t>
      </w:r>
      <w:proofErr w:type="spellEnd"/>
      <w:r>
        <w:t xml:space="preserve">. Den gode nyheten er at plasseringen er bedre enn snittet for de ti foregående årene. </w:t>
      </w:r>
    </w:p>
    <w:p w:rsidR="00A03996" w:rsidRDefault="00A03996" w:rsidP="00C94363">
      <w:r>
        <w:t xml:space="preserve">Det som trekker plasseringen til </w:t>
      </w:r>
      <w:proofErr w:type="spellStart"/>
      <w:r>
        <w:t>Glåmdal</w:t>
      </w:r>
      <w:proofErr w:type="spellEnd"/>
      <w:r>
        <w:t xml:space="preserve"> opp, er indikatoren for vekst. </w:t>
      </w:r>
    </w:p>
    <w:p w:rsidR="00C94363" w:rsidRDefault="00A03996" w:rsidP="00C94363">
      <w:r>
        <w:t xml:space="preserve">Det som derimot trekker plasseringen ned er indikatoren for størrelse. Det betyr at antall arbeidsplasser i næringslivet </w:t>
      </w:r>
      <w:r w:rsidR="00EB4F28">
        <w:t>utgjør en særdeles liten andel av befolkningen sammenliknet med andelen andre steder</w:t>
      </w:r>
      <w:r>
        <w:t xml:space="preserve">. Dette skyldes </w:t>
      </w:r>
      <w:r w:rsidR="00F663BD">
        <w:t>til dels</w:t>
      </w:r>
      <w:r>
        <w:t xml:space="preserve"> at </w:t>
      </w:r>
      <w:proofErr w:type="spellStart"/>
      <w:r>
        <w:t>Glåmdal</w:t>
      </w:r>
      <w:proofErr w:type="spellEnd"/>
      <w:r>
        <w:t xml:space="preserve"> er et utpendlingsfylke. Vi så tidligere at nettoutpendlingen fra </w:t>
      </w:r>
      <w:proofErr w:type="spellStart"/>
      <w:r>
        <w:t>Glåmdal</w:t>
      </w:r>
      <w:proofErr w:type="spellEnd"/>
      <w:r>
        <w:t xml:space="preserve"> </w:t>
      </w:r>
      <w:r w:rsidR="00F663BD">
        <w:t xml:space="preserve">tilsvarer 15 prosent av sysselsettingen. </w:t>
      </w:r>
      <w:r w:rsidR="00EB4F28">
        <w:t xml:space="preserve">Det skyldes nok også andre ting, bl.a. at næringslivet kun utgjør halvparten av den samlede sysselsettingen i regionen. Kanskje er også sysselsettingsgraden i regionen lav. </w:t>
      </w:r>
    </w:p>
    <w:p w:rsidR="00C94363" w:rsidRDefault="001B28CA" w:rsidP="00C94363">
      <w:proofErr w:type="spellStart"/>
      <w:r>
        <w:t>Glåmdal</w:t>
      </w:r>
      <w:proofErr w:type="spellEnd"/>
      <w:r>
        <w:t xml:space="preserve"> kommer dårligst ut blant regionene i Hedmark i årets </w:t>
      </w:r>
      <w:proofErr w:type="spellStart"/>
      <w:r>
        <w:t>NæringsNM</w:t>
      </w:r>
      <w:proofErr w:type="spellEnd"/>
      <w:r>
        <w:t xml:space="preserve">. </w:t>
      </w:r>
    </w:p>
    <w:p w:rsidR="00C94363" w:rsidRDefault="00C94363" w:rsidP="00C94363">
      <w:r>
        <w:br w:type="column"/>
      </w:r>
      <w:r w:rsidR="0050353F">
        <w:rPr>
          <w:noProof/>
          <w:lang w:eastAsia="nb-NO"/>
        </w:rPr>
        <w:lastRenderedPageBreak/>
        <w:drawing>
          <wp:inline distT="0" distB="0" distL="0" distR="0">
            <wp:extent cx="2869565" cy="2130950"/>
            <wp:effectExtent l="0" t="0" r="6985" b="31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94363" w:rsidRDefault="009F225C" w:rsidP="009F225C">
      <w:pPr>
        <w:pStyle w:val="Bildetekst"/>
      </w:pPr>
      <w:r>
        <w:t xml:space="preserve">Figur </w:t>
      </w:r>
      <w:r w:rsidR="004B3D9E">
        <w:fldChar w:fldCharType="begin"/>
      </w:r>
      <w:r>
        <w:instrText xml:space="preserve"> SEQ Figur \* ARABIC </w:instrText>
      </w:r>
      <w:r w:rsidR="004B3D9E">
        <w:fldChar w:fldCharType="separate"/>
      </w:r>
      <w:r w:rsidR="00CD5BFF">
        <w:rPr>
          <w:noProof/>
        </w:rPr>
        <w:t>83</w:t>
      </w:r>
      <w:r w:rsidR="004B3D9E">
        <w:fldChar w:fldCharType="end"/>
      </w:r>
      <w:r>
        <w:t xml:space="preserve">: </w:t>
      </w:r>
      <w:r w:rsidR="0006023A" w:rsidRPr="00D86B35">
        <w:t xml:space="preserve">Rangeringen til </w:t>
      </w:r>
      <w:proofErr w:type="spellStart"/>
      <w:r w:rsidR="0006023A">
        <w:t>Glåmdal</w:t>
      </w:r>
      <w:proofErr w:type="spellEnd"/>
      <w:r w:rsidR="0006023A" w:rsidRPr="00D86B35">
        <w:t xml:space="preserve"> </w:t>
      </w:r>
      <w:r w:rsidR="0006023A">
        <w:t xml:space="preserve">i </w:t>
      </w:r>
      <w:proofErr w:type="spellStart"/>
      <w:r w:rsidR="0006023A">
        <w:t>NæringsNM</w:t>
      </w:r>
      <w:proofErr w:type="spellEnd"/>
      <w:r w:rsidR="0006023A">
        <w:t xml:space="preserve"> i perioden 2000-2013</w:t>
      </w:r>
      <w:r w:rsidR="0006023A" w:rsidRPr="00D86B35">
        <w:t>.</w:t>
      </w:r>
      <w:r w:rsidR="0006023A">
        <w:t xml:space="preserve"> Rangering blant 80 regioner. </w:t>
      </w:r>
    </w:p>
    <w:p w:rsidR="009F225C" w:rsidRDefault="008F2FC4" w:rsidP="00DF6397">
      <w:pPr>
        <w:spacing w:after="0"/>
      </w:pPr>
      <w:r>
        <w:rPr>
          <w:noProof/>
          <w:lang w:eastAsia="nb-NO"/>
        </w:rPr>
        <w:drawing>
          <wp:inline distT="0" distB="0" distL="0" distR="0">
            <wp:extent cx="2869565" cy="5438692"/>
            <wp:effectExtent l="0" t="0" r="6985"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94363" w:rsidRDefault="009F225C" w:rsidP="00522609">
      <w:pPr>
        <w:pStyle w:val="Bildetekst"/>
        <w:spacing w:before="0"/>
        <w:sectPr w:rsidR="00C94363" w:rsidSect="00601EE9">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84</w:t>
      </w:r>
      <w:r w:rsidR="004B3D9E">
        <w:fldChar w:fldCharType="end"/>
      </w:r>
      <w:r>
        <w:t xml:space="preserve">: </w:t>
      </w:r>
      <w:proofErr w:type="spellStart"/>
      <w:r w:rsidR="00522609" w:rsidRPr="00D86B35">
        <w:t>NæringsNM</w:t>
      </w:r>
      <w:proofErr w:type="spellEnd"/>
      <w:r w:rsidR="00522609" w:rsidRPr="00D86B35">
        <w:t xml:space="preserve"> for </w:t>
      </w:r>
      <w:r w:rsidR="00522609">
        <w:t>regionene på Østlandet</w:t>
      </w:r>
      <w:r w:rsidR="00522609" w:rsidRPr="00D86B35">
        <w:t xml:space="preserve">. Rangering blant </w:t>
      </w:r>
      <w:r w:rsidR="00522609">
        <w:t>80 regioner i 2013</w:t>
      </w:r>
      <w:r w:rsidR="00522609" w:rsidRPr="00D86B35">
        <w:t xml:space="preserve"> til venstre, og rangering siste ti år i parentes. Rangering for de fire indeksene vises inni figuren.</w:t>
      </w:r>
      <w:r w:rsidR="00522609">
        <w:t xml:space="preserve"> </w:t>
      </w:r>
      <w:r w:rsidR="00C94363">
        <w:br w:type="page"/>
      </w:r>
    </w:p>
    <w:p w:rsidR="009F225C" w:rsidRDefault="009F225C" w:rsidP="009F225C">
      <w:pPr>
        <w:pStyle w:val="Overskrift2"/>
      </w:pPr>
      <w:proofErr w:type="spellStart"/>
      <w:r>
        <w:lastRenderedPageBreak/>
        <w:t>NæringsNM</w:t>
      </w:r>
      <w:proofErr w:type="spellEnd"/>
      <w:r>
        <w:t xml:space="preserve"> i kommunene</w:t>
      </w:r>
    </w:p>
    <w:p w:rsidR="009F225C" w:rsidRDefault="001B28CA" w:rsidP="009F225C">
      <w:r>
        <w:t xml:space="preserve">Vi så at </w:t>
      </w:r>
      <w:proofErr w:type="spellStart"/>
      <w:r>
        <w:t>Glåmdal</w:t>
      </w:r>
      <w:proofErr w:type="spellEnd"/>
      <w:r>
        <w:t xml:space="preserve"> gjorde det dårlig i årets </w:t>
      </w:r>
      <w:proofErr w:type="spellStart"/>
      <w:r>
        <w:t>NæringsNM</w:t>
      </w:r>
      <w:proofErr w:type="spellEnd"/>
      <w:r>
        <w:t xml:space="preserve">. Men hvordan har det gått i de enkelte kommunene? Det ser vi i figuren til høyre som viser plasseringen til kommunene i Hedmark i årets </w:t>
      </w:r>
      <w:proofErr w:type="spellStart"/>
      <w:r>
        <w:t>NæringsNM</w:t>
      </w:r>
      <w:proofErr w:type="spellEnd"/>
      <w:r>
        <w:t xml:space="preserve">. </w:t>
      </w:r>
    </w:p>
    <w:p w:rsidR="001B28CA" w:rsidRDefault="002542EC" w:rsidP="009F225C">
      <w:r>
        <w:t xml:space="preserve">Sør-Odal er kommunen i </w:t>
      </w:r>
      <w:proofErr w:type="spellStart"/>
      <w:r>
        <w:t>Glåmdal</w:t>
      </w:r>
      <w:proofErr w:type="spellEnd"/>
      <w:r>
        <w:t xml:space="preserve"> som gjorde det best. Sør-Odal har relativt mange vekstforetak. Det er næringslivets lave størrelse som trekker den samlede plasseringen ned. Sør-Odal har gjort det mye bedre i 2013 enn i de ti foregående årene. </w:t>
      </w:r>
    </w:p>
    <w:p w:rsidR="001B28CA" w:rsidRDefault="002542EC" w:rsidP="009F225C">
      <w:r>
        <w:t>Kongsvinger gjorde det også over middels godt i 2013, men plasseringen er dårligere enn før. Kongsvinger har en høy andel nyetableringe</w:t>
      </w:r>
      <w:r w:rsidR="00FF5BD7">
        <w:t>r i kommunen. Derimot er det få</w:t>
      </w:r>
      <w:r>
        <w:t xml:space="preserve"> av bedriftene som er lønnsomme. </w:t>
      </w:r>
    </w:p>
    <w:p w:rsidR="002542EC" w:rsidRDefault="002542EC" w:rsidP="009F225C">
      <w:r>
        <w:t xml:space="preserve">Nord-Odal gjorde det litt under middels i årets </w:t>
      </w:r>
      <w:proofErr w:type="spellStart"/>
      <w:r>
        <w:t>NæringsNM</w:t>
      </w:r>
      <w:proofErr w:type="spellEnd"/>
      <w:r>
        <w:t>. Nord-Odal har også mange vekstbedrifter, men næringslivet i kommunen er lite i forhold til kommunen</w:t>
      </w:r>
      <w:r w:rsidR="00241FDB">
        <w:t xml:space="preserve"> </w:t>
      </w:r>
      <w:r>
        <w:t xml:space="preserve">s innbyggere. </w:t>
      </w:r>
    </w:p>
    <w:p w:rsidR="002542EC" w:rsidRDefault="002542EC" w:rsidP="009F225C">
      <w:r>
        <w:t xml:space="preserve">Åsnes er taperen blant kommunene i </w:t>
      </w:r>
      <w:proofErr w:type="spellStart"/>
      <w:r>
        <w:t>Glåmdal</w:t>
      </w:r>
      <w:proofErr w:type="spellEnd"/>
      <w:r>
        <w:t xml:space="preserve">. </w:t>
      </w:r>
      <w:r w:rsidR="00696627">
        <w:t xml:space="preserve">Åsnes kommer dårlig ut på alle indikatorene. </w:t>
      </w:r>
    </w:p>
    <w:p w:rsidR="00696627" w:rsidRDefault="00696627" w:rsidP="009F225C">
      <w:r>
        <w:t xml:space="preserve">Oppsummert kan man si at </w:t>
      </w:r>
      <w:proofErr w:type="spellStart"/>
      <w:r>
        <w:t>Glåmdal</w:t>
      </w:r>
      <w:proofErr w:type="spellEnd"/>
      <w:r>
        <w:t xml:space="preserve"> har mange utfordringer i konkurransen med andre regioner, både mht. næringsutvikling og innovasjon. </w:t>
      </w:r>
    </w:p>
    <w:p w:rsidR="009F225C" w:rsidRDefault="009F225C" w:rsidP="009F225C">
      <w:r>
        <w:br w:type="column"/>
      </w:r>
      <w:r w:rsidR="000D1D1B">
        <w:rPr>
          <w:noProof/>
          <w:lang w:eastAsia="nb-NO"/>
        </w:rPr>
        <w:lastRenderedPageBreak/>
        <w:drawing>
          <wp:inline distT="0" distB="0" distL="0" distR="0">
            <wp:extent cx="2869565" cy="6297433"/>
            <wp:effectExtent l="0" t="0" r="6985" b="825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9F225C" w:rsidRDefault="00B9668C" w:rsidP="00F472D5">
      <w:pPr>
        <w:pStyle w:val="Bildetekst"/>
        <w:sectPr w:rsidR="009F225C" w:rsidSect="009F225C">
          <w:type w:val="continuous"/>
          <w:pgSz w:w="11907" w:h="16840" w:code="9"/>
          <w:pgMar w:top="1440" w:right="1080" w:bottom="1440" w:left="1080" w:header="709" w:footer="709" w:gutter="0"/>
          <w:cols w:num="2" w:space="708"/>
          <w:docGrid w:linePitch="360"/>
        </w:sectPr>
      </w:pPr>
      <w:r>
        <w:t xml:space="preserve">Figur </w:t>
      </w:r>
      <w:r w:rsidR="004B3D9E">
        <w:fldChar w:fldCharType="begin"/>
      </w:r>
      <w:r>
        <w:instrText xml:space="preserve"> SEQ Figur \* ARABIC </w:instrText>
      </w:r>
      <w:r w:rsidR="004B3D9E">
        <w:fldChar w:fldCharType="separate"/>
      </w:r>
      <w:r w:rsidR="00CD5BFF">
        <w:rPr>
          <w:noProof/>
        </w:rPr>
        <w:t>85</w:t>
      </w:r>
      <w:r w:rsidR="004B3D9E">
        <w:fldChar w:fldCharType="end"/>
      </w:r>
      <w:r>
        <w:t xml:space="preserve">: </w:t>
      </w:r>
      <w:proofErr w:type="spellStart"/>
      <w:r w:rsidR="00032319" w:rsidRPr="00D86B35">
        <w:t>NæringsNM</w:t>
      </w:r>
      <w:proofErr w:type="spellEnd"/>
      <w:r w:rsidR="00032319" w:rsidRPr="00D86B35">
        <w:t xml:space="preserve"> for kommunene i </w:t>
      </w:r>
      <w:r w:rsidR="00032319">
        <w:t>Hedmark</w:t>
      </w:r>
      <w:r w:rsidR="00032319" w:rsidRPr="00D86B35">
        <w:t xml:space="preserve">. Rangering blant landets 428 kommuner i </w:t>
      </w:r>
      <w:r w:rsidR="00F472D5">
        <w:t>2013</w:t>
      </w:r>
      <w:r w:rsidR="00032319" w:rsidRPr="00D86B35">
        <w:t xml:space="preserve"> til venstre, og rangering siste ti år i parentes. Rangering for de fire indeksene vises inni figuren.</w:t>
      </w:r>
      <w:r w:rsidR="00F472D5">
        <w:t xml:space="preserve"> </w:t>
      </w:r>
      <w:r w:rsidR="009F225C">
        <w:br w:type="page"/>
      </w:r>
    </w:p>
    <w:p w:rsidR="00CA71C1" w:rsidRDefault="00CA71C1" w:rsidP="00103D59"/>
    <w:sectPr w:rsidR="00CA71C1" w:rsidSect="00103D59">
      <w:type w:val="continuous"/>
      <w:pgSz w:w="11907" w:h="16840" w:code="9"/>
      <w:pgMar w:top="1440" w:right="1080" w:bottom="1440" w:left="10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19F" w:rsidRDefault="00F3719F">
      <w:r>
        <w:separator/>
      </w:r>
    </w:p>
  </w:endnote>
  <w:endnote w:type="continuationSeparator" w:id="0">
    <w:p w:rsidR="00F3719F" w:rsidRDefault="00F3719F">
      <w:r>
        <w:continuationSeparator/>
      </w:r>
    </w:p>
  </w:endnote>
  <w:endnote w:id="1">
    <w:p w:rsidR="00B719B5" w:rsidRDefault="00B719B5">
      <w:pPr>
        <w:pStyle w:val="Sluttnotetekst"/>
      </w:pPr>
      <w:r>
        <w:rPr>
          <w:rStyle w:val="Sluttnotereferanse"/>
        </w:rPr>
        <w:endnoteRef/>
      </w:r>
      <w:r>
        <w:t xml:space="preserve"> Bransjeinndelingen tar utgangspunkt i registerdata for arbeidssted, med tilhørende NACE på 5-siffernivå. Fullstendig oversikt finnes på (link)</w:t>
      </w:r>
    </w:p>
  </w:endnote>
  <w:endnote w:id="2">
    <w:p w:rsidR="00B719B5" w:rsidRDefault="00B719B5" w:rsidP="003F46FA">
      <w:pPr>
        <w:pStyle w:val="Sluttnotetekst"/>
      </w:pPr>
      <w:r>
        <w:rPr>
          <w:rStyle w:val="Sluttnotereferanse"/>
        </w:rPr>
        <w:endnoteRef/>
      </w:r>
      <w:r>
        <w:t xml:space="preserve"> Vi baserer oss </w:t>
      </w:r>
      <w:proofErr w:type="gramStart"/>
      <w:r>
        <w:t>å</w:t>
      </w:r>
      <w:proofErr w:type="gramEnd"/>
      <w:r>
        <w:t xml:space="preserve"> at sysselsettingsandelene innenfor hvert </w:t>
      </w:r>
      <w:proofErr w:type="spellStart"/>
      <w:r>
        <w:t>årstrinn</w:t>
      </w:r>
      <w:proofErr w:type="spellEnd"/>
      <w:r>
        <w:t xml:space="preserve"> er konstant, og har brukt </w:t>
      </w:r>
      <w:proofErr w:type="spellStart"/>
      <w:r>
        <w:t>SSBs</w:t>
      </w:r>
      <w:proofErr w:type="spellEnd"/>
      <w:r>
        <w:t xml:space="preserve"> middelframskrivning om antall personer i alle </w:t>
      </w:r>
      <w:proofErr w:type="spellStart"/>
      <w:r>
        <w:t>årstrinn</w:t>
      </w:r>
      <w:proofErr w:type="spellEnd"/>
      <w:r>
        <w:t xml:space="preserve"> hvert år til 2040.</w:t>
      </w:r>
    </w:p>
  </w:endnote>
  <w:endnote w:id="3">
    <w:p w:rsidR="00B719B5" w:rsidRDefault="00B719B5">
      <w:pPr>
        <w:pStyle w:val="Sluttnotetekst"/>
      </w:pPr>
      <w:r>
        <w:rPr>
          <w:rStyle w:val="Sluttnotereferanse"/>
        </w:rPr>
        <w:endnoteRef/>
      </w:r>
      <w:r>
        <w:t xml:space="preserve"> Vi har brukt progressivt gjennomsnitt for de ti siste årene der veksten de siste årene teller mer enn de første.</w:t>
      </w:r>
    </w:p>
  </w:endnote>
  <w:endnote w:id="4">
    <w:p w:rsidR="00B719B5" w:rsidRDefault="00B719B5" w:rsidP="00500C46">
      <w:pPr>
        <w:pStyle w:val="Sluttnotetekst"/>
      </w:pPr>
      <w:r>
        <w:rPr>
          <w:rStyle w:val="Sluttnotereferanse"/>
        </w:rPr>
        <w:endnoteRef/>
      </w:r>
      <w:r>
        <w:t xml:space="preserve"> Rent teknisk måler vi innovasjonsklima gjennom en binær logistisk regresjonsanalyse der avhengig variabel er om bedriften har innovasjon (0/1) og uavhengige variable er størrelse (lineær av antall ansatte), bransje (dummyvariable for </w:t>
      </w:r>
      <w:proofErr w:type="gramStart"/>
      <w:r>
        <w:t>hver</w:t>
      </w:r>
      <w:proofErr w:type="gramEnd"/>
      <w:r>
        <w:t xml:space="preserve"> 2-siffer </w:t>
      </w:r>
      <w:proofErr w:type="spellStart"/>
      <w:r>
        <w:t>NACE-bransje</w:t>
      </w:r>
      <w:proofErr w:type="spellEnd"/>
      <w:r>
        <w:t>) og dummyvariable for regioner. Betakoeffisienten for regionvariabelen vil da være et uttrykk for om regionen har høy eller lav tilbøyelighet for å ha innovasjon. Denne regresjonsanalysen er kjørt for alle de 11 innovasjonstypene, og deretter veid på samme måte som vi veier for frekvenser.</w:t>
      </w:r>
    </w:p>
  </w:endnote>
  <w:endnote w:id="5">
    <w:p w:rsidR="00B719B5" w:rsidRDefault="00B719B5" w:rsidP="00A12362">
      <w:pPr>
        <w:pStyle w:val="Sluttnotetekst"/>
      </w:pPr>
      <w:r>
        <w:rPr>
          <w:rStyle w:val="Sluttnotereferanse"/>
        </w:rPr>
        <w:endnoteRef/>
      </w:r>
      <w:r>
        <w:t xml:space="preserve"> Alle tall for nyetableringer, vekst og lønnsomhet baserer seg på data som Telemarkforsking har fått levert fra </w:t>
      </w:r>
      <w:proofErr w:type="spellStart"/>
      <w:r>
        <w:t>Brønnøysundregistrene</w:t>
      </w:r>
      <w:proofErr w:type="spellEnd"/>
      <w:r>
        <w:t>.</w:t>
      </w:r>
    </w:p>
    <w:p w:rsidR="00B719B5" w:rsidRDefault="00B719B5" w:rsidP="00E40231">
      <w:pPr>
        <w:pStyle w:val="Sluttnotetekst"/>
      </w:pPr>
      <w:r>
        <w:t xml:space="preserve">Regioninndeling Hedmark: </w:t>
      </w:r>
    </w:p>
    <w:tbl>
      <w:tblPr>
        <w:tblW w:w="2120" w:type="dxa"/>
        <w:tblCellMar>
          <w:left w:w="70" w:type="dxa"/>
          <w:right w:w="70" w:type="dxa"/>
        </w:tblCellMar>
        <w:tblLook w:val="04A0"/>
      </w:tblPr>
      <w:tblGrid>
        <w:gridCol w:w="2120"/>
      </w:tblGrid>
      <w:tr w:rsidR="00B719B5" w:rsidRPr="00A45EDC" w:rsidTr="002A5FEB">
        <w:trPr>
          <w:trHeight w:val="227"/>
        </w:trPr>
        <w:tc>
          <w:tcPr>
            <w:tcW w:w="2120" w:type="dxa"/>
            <w:tcBorders>
              <w:top w:val="nil"/>
              <w:left w:val="nil"/>
              <w:bottom w:val="nil"/>
              <w:right w:val="nil"/>
            </w:tcBorders>
            <w:shd w:val="clear" w:color="DCE6F1" w:fill="DCE6F1"/>
            <w:noWrap/>
            <w:vAlign w:val="bottom"/>
            <w:hideMark/>
          </w:tcPr>
          <w:p w:rsidR="00B719B5" w:rsidRPr="00A45EDC" w:rsidRDefault="00B719B5" w:rsidP="00E40231">
            <w:pPr>
              <w:spacing w:after="0" w:line="240" w:lineRule="auto"/>
              <w:rPr>
                <w:rFonts w:ascii="Arial" w:eastAsia="Times New Roman" w:hAnsi="Arial" w:cs="Arial"/>
                <w:b/>
                <w:bCs/>
                <w:color w:val="000000"/>
                <w:sz w:val="18"/>
                <w:szCs w:val="18"/>
                <w:lang w:eastAsia="nb-NO"/>
              </w:rPr>
            </w:pPr>
            <w:r w:rsidRPr="00A45EDC">
              <w:rPr>
                <w:rFonts w:ascii="Arial" w:eastAsia="Times New Roman" w:hAnsi="Arial" w:cs="Arial"/>
                <w:b/>
                <w:bCs/>
                <w:color w:val="000000"/>
                <w:sz w:val="18"/>
                <w:szCs w:val="18"/>
                <w:lang w:eastAsia="nb-NO"/>
              </w:rPr>
              <w:t>Fjellregionen</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Rendalen</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Tolga</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Tynset</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Alvdal</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Folldal</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Os (Hed</w:t>
            </w:r>
            <w:r w:rsidRPr="00A45EDC">
              <w:rPr>
                <w:rFonts w:ascii="Arial" w:eastAsia="Times New Roman" w:hAnsi="Arial" w:cs="Arial"/>
                <w:color w:val="000000"/>
                <w:sz w:val="18"/>
                <w:szCs w:val="18"/>
                <w:lang w:eastAsia="nb-NO"/>
              </w:rPr>
              <w:t>mark)</w:t>
            </w:r>
          </w:p>
        </w:tc>
      </w:tr>
      <w:tr w:rsidR="00B719B5" w:rsidRPr="00A45EDC" w:rsidTr="002A5FEB">
        <w:trPr>
          <w:trHeight w:val="227"/>
        </w:trPr>
        <w:tc>
          <w:tcPr>
            <w:tcW w:w="2120" w:type="dxa"/>
            <w:tcBorders>
              <w:top w:val="nil"/>
              <w:left w:val="nil"/>
              <w:bottom w:val="nil"/>
              <w:right w:val="nil"/>
            </w:tcBorders>
            <w:shd w:val="clear" w:color="DCE6F1" w:fill="DCE6F1"/>
            <w:noWrap/>
            <w:vAlign w:val="bottom"/>
            <w:hideMark/>
          </w:tcPr>
          <w:p w:rsidR="00B719B5" w:rsidRPr="00A45EDC" w:rsidRDefault="00B719B5" w:rsidP="00E40231">
            <w:pPr>
              <w:spacing w:after="0" w:line="240" w:lineRule="auto"/>
              <w:rPr>
                <w:rFonts w:ascii="Arial" w:eastAsia="Times New Roman" w:hAnsi="Arial" w:cs="Arial"/>
                <w:b/>
                <w:bCs/>
                <w:color w:val="000000"/>
                <w:sz w:val="18"/>
                <w:szCs w:val="18"/>
                <w:lang w:eastAsia="nb-NO"/>
              </w:rPr>
            </w:pPr>
            <w:proofErr w:type="spellStart"/>
            <w:r w:rsidRPr="00A45EDC">
              <w:rPr>
                <w:rFonts w:ascii="Arial" w:eastAsia="Times New Roman" w:hAnsi="Arial" w:cs="Arial"/>
                <w:b/>
                <w:bCs/>
                <w:color w:val="000000"/>
                <w:sz w:val="18"/>
                <w:szCs w:val="18"/>
                <w:lang w:eastAsia="nb-NO"/>
              </w:rPr>
              <w:t>Glåmdal</w:t>
            </w:r>
            <w:proofErr w:type="spellEnd"/>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Kongsvinger</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Nord-Odal</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Sør-Odal</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Eidskog</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Grue</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Åsnes</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Våler (Hed</w:t>
            </w:r>
            <w:r w:rsidRPr="00A45EDC">
              <w:rPr>
                <w:rFonts w:ascii="Arial" w:eastAsia="Times New Roman" w:hAnsi="Arial" w:cs="Arial"/>
                <w:color w:val="000000"/>
                <w:sz w:val="18"/>
                <w:szCs w:val="18"/>
                <w:lang w:eastAsia="nb-NO"/>
              </w:rPr>
              <w:t>mark)</w:t>
            </w:r>
          </w:p>
        </w:tc>
      </w:tr>
      <w:tr w:rsidR="00B719B5" w:rsidRPr="00A45EDC" w:rsidTr="002A5FEB">
        <w:trPr>
          <w:trHeight w:val="227"/>
        </w:trPr>
        <w:tc>
          <w:tcPr>
            <w:tcW w:w="2120" w:type="dxa"/>
            <w:tcBorders>
              <w:top w:val="nil"/>
              <w:left w:val="nil"/>
              <w:bottom w:val="nil"/>
              <w:right w:val="nil"/>
            </w:tcBorders>
            <w:shd w:val="clear" w:color="DCE6F1" w:fill="DCE6F1"/>
            <w:noWrap/>
            <w:vAlign w:val="bottom"/>
            <w:hideMark/>
          </w:tcPr>
          <w:p w:rsidR="00B719B5" w:rsidRPr="00A45EDC" w:rsidRDefault="00B719B5" w:rsidP="00E40231">
            <w:pPr>
              <w:spacing w:after="0" w:line="240" w:lineRule="auto"/>
              <w:rPr>
                <w:rFonts w:ascii="Arial" w:eastAsia="Times New Roman" w:hAnsi="Arial" w:cs="Arial"/>
                <w:b/>
                <w:bCs/>
                <w:color w:val="000000"/>
                <w:sz w:val="18"/>
                <w:szCs w:val="18"/>
                <w:lang w:eastAsia="nb-NO"/>
              </w:rPr>
            </w:pPr>
            <w:r w:rsidRPr="00A45EDC">
              <w:rPr>
                <w:rFonts w:ascii="Arial" w:eastAsia="Times New Roman" w:hAnsi="Arial" w:cs="Arial"/>
                <w:b/>
                <w:bCs/>
                <w:color w:val="000000"/>
                <w:sz w:val="18"/>
                <w:szCs w:val="18"/>
                <w:lang w:eastAsia="nb-NO"/>
              </w:rPr>
              <w:t>Hamarregionen</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Hamar</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Ringsaker</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Løten</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Stange</w:t>
            </w:r>
          </w:p>
        </w:tc>
      </w:tr>
      <w:tr w:rsidR="00B719B5" w:rsidRPr="00A45EDC" w:rsidTr="002A5FEB">
        <w:trPr>
          <w:trHeight w:val="227"/>
        </w:trPr>
        <w:tc>
          <w:tcPr>
            <w:tcW w:w="2120" w:type="dxa"/>
            <w:tcBorders>
              <w:top w:val="nil"/>
              <w:left w:val="nil"/>
              <w:bottom w:val="nil"/>
              <w:right w:val="nil"/>
            </w:tcBorders>
            <w:shd w:val="clear" w:color="DCE6F1" w:fill="DCE6F1"/>
            <w:noWrap/>
            <w:vAlign w:val="bottom"/>
            <w:hideMark/>
          </w:tcPr>
          <w:p w:rsidR="00B719B5" w:rsidRPr="00A45EDC" w:rsidRDefault="00B719B5" w:rsidP="00E40231">
            <w:pPr>
              <w:spacing w:after="0" w:line="240" w:lineRule="auto"/>
              <w:rPr>
                <w:rFonts w:ascii="Arial" w:eastAsia="Times New Roman" w:hAnsi="Arial" w:cs="Arial"/>
                <w:b/>
                <w:bCs/>
                <w:color w:val="000000"/>
                <w:sz w:val="18"/>
                <w:szCs w:val="18"/>
                <w:lang w:eastAsia="nb-NO"/>
              </w:rPr>
            </w:pPr>
            <w:r w:rsidRPr="00A45EDC">
              <w:rPr>
                <w:rFonts w:ascii="Arial" w:eastAsia="Times New Roman" w:hAnsi="Arial" w:cs="Arial"/>
                <w:b/>
                <w:bCs/>
                <w:color w:val="000000"/>
                <w:sz w:val="18"/>
                <w:szCs w:val="18"/>
                <w:lang w:eastAsia="nb-NO"/>
              </w:rPr>
              <w:t>Sør Østerdal</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Elverum</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Trysil</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Åmot</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Stor-Elvdal</w:t>
            </w:r>
          </w:p>
        </w:tc>
      </w:tr>
      <w:tr w:rsidR="00B719B5" w:rsidRPr="00A45EDC" w:rsidTr="002A5FEB">
        <w:trPr>
          <w:trHeight w:val="227"/>
        </w:trPr>
        <w:tc>
          <w:tcPr>
            <w:tcW w:w="2120" w:type="dxa"/>
            <w:tcBorders>
              <w:top w:val="nil"/>
              <w:left w:val="nil"/>
              <w:bottom w:val="nil"/>
              <w:right w:val="nil"/>
            </w:tcBorders>
            <w:shd w:val="clear" w:color="auto" w:fill="auto"/>
            <w:noWrap/>
            <w:vAlign w:val="bottom"/>
            <w:hideMark/>
          </w:tcPr>
          <w:p w:rsidR="00B719B5" w:rsidRPr="00A45EDC" w:rsidRDefault="00B719B5" w:rsidP="00E40231">
            <w:pPr>
              <w:spacing w:after="0" w:line="240" w:lineRule="auto"/>
              <w:ind w:firstLineChars="100" w:firstLine="180"/>
              <w:rPr>
                <w:rFonts w:ascii="Arial" w:eastAsia="Times New Roman" w:hAnsi="Arial" w:cs="Arial"/>
                <w:color w:val="000000"/>
                <w:sz w:val="18"/>
                <w:szCs w:val="18"/>
                <w:lang w:eastAsia="nb-NO"/>
              </w:rPr>
            </w:pPr>
            <w:r w:rsidRPr="00A45EDC">
              <w:rPr>
                <w:rFonts w:ascii="Arial" w:eastAsia="Times New Roman" w:hAnsi="Arial" w:cs="Arial"/>
                <w:color w:val="000000"/>
                <w:sz w:val="18"/>
                <w:szCs w:val="18"/>
                <w:lang w:eastAsia="nb-NO"/>
              </w:rPr>
              <w:t>Engerdal</w:t>
            </w:r>
          </w:p>
        </w:tc>
      </w:tr>
    </w:tbl>
    <w:p w:rsidR="00B719B5" w:rsidRDefault="00B719B5" w:rsidP="00A12362">
      <w:pPr>
        <w:pStyle w:val="Sluttnotetekst"/>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bon LT Std">
    <w:altName w:val="Arial"/>
    <w:panose1 w:val="00000000000000000000"/>
    <w:charset w:val="00"/>
    <w:family w:val="roman"/>
    <w:notTrueType/>
    <w:pitch w:val="variable"/>
    <w:sig w:usb0="800000AF" w:usb1="5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heSansExtraLight-Plain">
    <w:altName w:val="Arial"/>
    <w:panose1 w:val="00000000000000000000"/>
    <w:charset w:val="00"/>
    <w:family w:val="swiss"/>
    <w:notTrueType/>
    <w:pitch w:val="variable"/>
    <w:sig w:usb0="00000083" w:usb1="00000000" w:usb2="00000000" w:usb3="00000000" w:csb0="00000009" w:csb1="00000000"/>
  </w:font>
  <w:font w:name="NewsGoth BT">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abon MT">
    <w:altName w:val="Courie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o Sans Light">
    <w:altName w:val="Times New Roman"/>
    <w:panose1 w:val="00000000000000000000"/>
    <w:charset w:val="00"/>
    <w:family w:val="auto"/>
    <w:notTrueType/>
    <w:pitch w:val="variable"/>
    <w:sig w:usb0="00000083"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9B5" w:rsidRDefault="004B3D9E" w:rsidP="002E0569">
    <w:pPr>
      <w:pStyle w:val="Bunntekst"/>
      <w:tabs>
        <w:tab w:val="clear" w:pos="4536"/>
        <w:tab w:val="clear" w:pos="9072"/>
        <w:tab w:val="left" w:pos="0"/>
      </w:tabs>
      <w:ind w:left="-709" w:right="360"/>
      <w:jc w:val="left"/>
    </w:pPr>
    <w:r>
      <w:fldChar w:fldCharType="begin"/>
    </w:r>
    <w:r w:rsidR="00B719B5">
      <w:instrText xml:space="preserve"> PAGE   \* MERGEFORMAT </w:instrText>
    </w:r>
    <w:r>
      <w:fldChar w:fldCharType="separate"/>
    </w:r>
    <w:r w:rsidR="0066536E">
      <w:rPr>
        <w:noProof/>
      </w:rPr>
      <w:t>6</w:t>
    </w:r>
    <w:r>
      <w:rPr>
        <w:noProof/>
      </w:rPr>
      <w:fldChar w:fldCharType="end"/>
    </w:r>
    <w:r w:rsidR="00B719B5">
      <w:tab/>
      <w:t xml:space="preserve">Regional analyser for </w:t>
    </w:r>
    <w:proofErr w:type="spellStart"/>
    <w:r w:rsidR="00B719B5">
      <w:t>Glåmdal</w:t>
    </w:r>
    <w:proofErr w:type="spellEnd"/>
    <w:r w:rsidR="00B719B5">
      <w:t xml:space="preserve"> 2014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9B5" w:rsidRPr="009F5AAB" w:rsidRDefault="00B719B5" w:rsidP="002E0569">
    <w:pPr>
      <w:pStyle w:val="Bunntekst"/>
      <w:tabs>
        <w:tab w:val="clear" w:pos="4536"/>
        <w:tab w:val="clear" w:pos="9072"/>
        <w:tab w:val="left" w:pos="0"/>
        <w:tab w:val="right" w:pos="8505"/>
      </w:tabs>
      <w:ind w:left="-851" w:right="360" w:firstLine="360"/>
      <w:jc w:val="left"/>
      <w:rPr>
        <w:color w:val="808080"/>
      </w:rPr>
    </w:pPr>
    <w:r>
      <w:tab/>
      <w:t xml:space="preserve">Regional analyse for </w:t>
    </w:r>
    <w:proofErr w:type="spellStart"/>
    <w:r>
      <w:t>Glåmdal</w:t>
    </w:r>
    <w:proofErr w:type="spellEnd"/>
    <w:r>
      <w:t xml:space="preserve"> 2014</w:t>
    </w:r>
    <w:r>
      <w:tab/>
    </w:r>
    <w:r w:rsidR="004B3D9E">
      <w:fldChar w:fldCharType="begin"/>
    </w:r>
    <w:r>
      <w:instrText xml:space="preserve"> PAGE   \* MERGEFORMAT </w:instrText>
    </w:r>
    <w:r w:rsidR="004B3D9E">
      <w:fldChar w:fldCharType="separate"/>
    </w:r>
    <w:r w:rsidR="0066536E">
      <w:rPr>
        <w:noProof/>
      </w:rPr>
      <w:t>7</w:t>
    </w:r>
    <w:r w:rsidR="004B3D9E">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19F" w:rsidRDefault="00F3719F">
      <w:r>
        <w:separator/>
      </w:r>
    </w:p>
  </w:footnote>
  <w:footnote w:type="continuationSeparator" w:id="0">
    <w:p w:rsidR="00F3719F" w:rsidRDefault="00F371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9B5" w:rsidRPr="00EF0EE1" w:rsidRDefault="00B719B5" w:rsidP="00832E5C">
    <w:pPr>
      <w:pStyle w:val="Topptekst"/>
      <w:pBdr>
        <w:bottom w:val="none" w:sz="0" w:space="0" w:color="auto"/>
      </w:pBdr>
      <w:tabs>
        <w:tab w:val="clear" w:pos="9072"/>
        <w:tab w:val="right" w:pos="8931"/>
      </w:tabs>
      <w:ind w:right="-1"/>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3CF4"/>
    <w:multiLevelType w:val="multilevel"/>
    <w:tmpl w:val="FD80B9F8"/>
    <w:lvl w:ilvl="0">
      <w:start w:val="1"/>
      <w:numFmt w:val="decimal"/>
      <w:pStyle w:val="Overskrift1"/>
      <w:lvlText w:val="%1."/>
      <w:lvlJc w:val="left"/>
      <w:pPr>
        <w:tabs>
          <w:tab w:val="num" w:pos="-1342"/>
        </w:tabs>
        <w:ind w:left="-1342" w:hanging="360"/>
      </w:pPr>
      <w:rPr>
        <w:rFonts w:hint="default"/>
      </w:rPr>
    </w:lvl>
    <w:lvl w:ilvl="1">
      <w:start w:val="1"/>
      <w:numFmt w:val="decimal"/>
      <w:pStyle w:val="Overskrift2"/>
      <w:lvlText w:val="%1.%2"/>
      <w:lvlJc w:val="left"/>
      <w:pPr>
        <w:tabs>
          <w:tab w:val="num" w:pos="576"/>
        </w:tabs>
        <w:ind w:left="576" w:hanging="576"/>
      </w:pPr>
      <w:rPr>
        <w:rFonts w:hint="default"/>
      </w:rPr>
    </w:lvl>
    <w:lvl w:ilvl="2">
      <w:start w:val="1"/>
      <w:numFmt w:val="decimal"/>
      <w:pStyle w:val="Overskrift3"/>
      <w:lvlText w:val="%1.%2.%3"/>
      <w:lvlJc w:val="left"/>
      <w:pPr>
        <w:tabs>
          <w:tab w:val="num" w:pos="720"/>
        </w:tabs>
        <w:ind w:left="720" w:hanging="720"/>
      </w:pPr>
      <w:rPr>
        <w:rFonts w:hint="default"/>
      </w:rPr>
    </w:lvl>
    <w:lvl w:ilvl="3">
      <w:start w:val="1"/>
      <w:numFmt w:val="decimal"/>
      <w:lvlText w:val="%1.%2.%3.%4"/>
      <w:lvlJc w:val="left"/>
      <w:pPr>
        <w:tabs>
          <w:tab w:val="num" w:pos="-838"/>
        </w:tabs>
        <w:ind w:left="-838" w:hanging="864"/>
      </w:pPr>
      <w:rPr>
        <w:rFonts w:hint="default"/>
      </w:rPr>
    </w:lvl>
    <w:lvl w:ilvl="4">
      <w:start w:val="1"/>
      <w:numFmt w:val="decimal"/>
      <w:lvlText w:val="%1.%2.%3.%4.%5"/>
      <w:lvlJc w:val="left"/>
      <w:pPr>
        <w:tabs>
          <w:tab w:val="num" w:pos="-694"/>
        </w:tabs>
        <w:ind w:left="-694" w:hanging="1008"/>
      </w:pPr>
      <w:rPr>
        <w:rFonts w:hint="default"/>
      </w:rPr>
    </w:lvl>
    <w:lvl w:ilvl="5">
      <w:start w:val="1"/>
      <w:numFmt w:val="decimal"/>
      <w:lvlText w:val="%1.%2.%3.%4.%5.%6"/>
      <w:lvlJc w:val="left"/>
      <w:pPr>
        <w:tabs>
          <w:tab w:val="num" w:pos="-550"/>
        </w:tabs>
        <w:ind w:left="-550" w:hanging="1152"/>
      </w:pPr>
      <w:rPr>
        <w:rFonts w:hint="default"/>
      </w:rPr>
    </w:lvl>
    <w:lvl w:ilvl="6">
      <w:start w:val="1"/>
      <w:numFmt w:val="decimal"/>
      <w:lvlText w:val="%1.%2.%3.%4.%5.%6.%7"/>
      <w:lvlJc w:val="left"/>
      <w:pPr>
        <w:tabs>
          <w:tab w:val="num" w:pos="-406"/>
        </w:tabs>
        <w:ind w:left="-406" w:hanging="1296"/>
      </w:pPr>
      <w:rPr>
        <w:rFonts w:hint="default"/>
      </w:rPr>
    </w:lvl>
    <w:lvl w:ilvl="7">
      <w:start w:val="1"/>
      <w:numFmt w:val="decimal"/>
      <w:lvlText w:val="%1.%2.%3.%4.%5.%6.%7.%8"/>
      <w:lvlJc w:val="left"/>
      <w:pPr>
        <w:tabs>
          <w:tab w:val="num" w:pos="-262"/>
        </w:tabs>
        <w:ind w:left="-262" w:hanging="1440"/>
      </w:pPr>
      <w:rPr>
        <w:rFonts w:hint="default"/>
      </w:rPr>
    </w:lvl>
    <w:lvl w:ilvl="8">
      <w:start w:val="1"/>
      <w:numFmt w:val="decimal"/>
      <w:lvlText w:val="%1.%2.%3.%4.%5.%6.%7.%8.%9"/>
      <w:lvlJc w:val="left"/>
      <w:pPr>
        <w:tabs>
          <w:tab w:val="num" w:pos="-118"/>
        </w:tabs>
        <w:ind w:left="-118" w:hanging="1584"/>
      </w:pPr>
      <w:rPr>
        <w:rFonts w:hint="default"/>
      </w:rPr>
    </w:lvl>
  </w:abstractNum>
  <w:abstractNum w:abstractNumId="1">
    <w:nsid w:val="06970096"/>
    <w:multiLevelType w:val="hybridMultilevel"/>
    <w:tmpl w:val="25AA53D0"/>
    <w:lvl w:ilvl="0" w:tplc="44CCB56A">
      <w:start w:val="166"/>
      <w:numFmt w:val="bullet"/>
      <w:lvlText w:val=""/>
      <w:lvlJc w:val="left"/>
      <w:pPr>
        <w:ind w:left="720" w:hanging="360"/>
      </w:pPr>
      <w:rPr>
        <w:rFonts w:ascii="Wingdings" w:eastAsia="Calibri"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0BB0EEB"/>
    <w:multiLevelType w:val="hybridMultilevel"/>
    <w:tmpl w:val="DDF470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2946531"/>
    <w:multiLevelType w:val="hybridMultilevel"/>
    <w:tmpl w:val="0706E364"/>
    <w:lvl w:ilvl="0" w:tplc="BB7640C4">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6561C3F"/>
    <w:multiLevelType w:val="hybridMultilevel"/>
    <w:tmpl w:val="9A4280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6A7477A"/>
    <w:multiLevelType w:val="hybridMultilevel"/>
    <w:tmpl w:val="BCB2AD42"/>
    <w:lvl w:ilvl="0" w:tplc="A9AA896A">
      <w:start w:val="1"/>
      <w:numFmt w:val="bullet"/>
      <w:lvlText w:val=""/>
      <w:lvlJc w:val="left"/>
      <w:pPr>
        <w:ind w:left="720" w:hanging="360"/>
      </w:pPr>
      <w:rPr>
        <w:rFonts w:ascii="Symbol" w:hAnsi="Symbol" w:hint="default"/>
      </w:rPr>
    </w:lvl>
    <w:lvl w:ilvl="1" w:tplc="6EAA0DA0">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E1170E8"/>
    <w:multiLevelType w:val="hybridMultilevel"/>
    <w:tmpl w:val="85D483F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nsid w:val="32A407F9"/>
    <w:multiLevelType w:val="multilevel"/>
    <w:tmpl w:val="03461168"/>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3CC33AC0"/>
    <w:multiLevelType w:val="hybridMultilevel"/>
    <w:tmpl w:val="7DEC3A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47681D3E"/>
    <w:multiLevelType w:val="hybridMultilevel"/>
    <w:tmpl w:val="FC4EE382"/>
    <w:lvl w:ilvl="0" w:tplc="A9AA896A">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51E033CB"/>
    <w:multiLevelType w:val="hybridMultilevel"/>
    <w:tmpl w:val="4E4E6314"/>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
    <w:nsid w:val="66680177"/>
    <w:multiLevelType w:val="hybridMultilevel"/>
    <w:tmpl w:val="BCB610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6E31138D"/>
    <w:multiLevelType w:val="hybridMultilevel"/>
    <w:tmpl w:val="854AC9E4"/>
    <w:lvl w:ilvl="0" w:tplc="AD067074">
      <w:start w:val="1"/>
      <w:numFmt w:val="bullet"/>
      <w:pStyle w:val="Listeavsnit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3">
    <w:nsid w:val="71F34DEA"/>
    <w:multiLevelType w:val="hybridMultilevel"/>
    <w:tmpl w:val="4E0462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7F221CEF"/>
    <w:multiLevelType w:val="hybridMultilevel"/>
    <w:tmpl w:val="830846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9"/>
  </w:num>
  <w:num w:numId="4">
    <w:abstractNumId w:val="5"/>
  </w:num>
  <w:num w:numId="5">
    <w:abstractNumId w:val="3"/>
  </w:num>
  <w:num w:numId="6">
    <w:abstractNumId w:val="11"/>
  </w:num>
  <w:num w:numId="7">
    <w:abstractNumId w:val="4"/>
  </w:num>
  <w:num w:numId="8">
    <w:abstractNumId w:val="6"/>
  </w:num>
  <w:num w:numId="9">
    <w:abstractNumId w:val="2"/>
  </w:num>
  <w:num w:numId="10">
    <w:abstractNumId w:val="8"/>
  </w:num>
  <w:num w:numId="11">
    <w:abstractNumId w:val="13"/>
  </w:num>
  <w:num w:numId="12">
    <w:abstractNumId w:val="1"/>
  </w:num>
  <w:num w:numId="13">
    <w:abstractNumId w:val="14"/>
  </w:num>
  <w:num w:numId="14">
    <w:abstractNumId w:val="7"/>
  </w:num>
  <w:num w:numId="15">
    <w:abstractNumId w:val="1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defaultTabStop w:val="720"/>
  <w:hyphenationZone w:val="357"/>
  <w:doNotHyphenateCaps/>
  <w:evenAndOddHeaders/>
  <w:drawingGridHorizontalSpacing w:val="100"/>
  <w:displayHorizontalDrawingGridEvery w:val="2"/>
  <w:displayVerticalDrawingGridEvery w:val="2"/>
  <w:noPunctuationKerning/>
  <w:characterSpacingControl w:val="doNotCompress"/>
  <w:hdrShapeDefaults>
    <o:shapedefaults v:ext="edit" spidmax="47106"/>
  </w:hdrShapeDefaults>
  <w:footnotePr>
    <w:footnote w:id="-1"/>
    <w:footnote w:id="0"/>
  </w:footnotePr>
  <w:endnotePr>
    <w:endnote w:id="-1"/>
    <w:endnote w:id="0"/>
  </w:endnotePr>
  <w:compat/>
  <w:rsids>
    <w:rsidRoot w:val="008E434A"/>
    <w:rsid w:val="000013FE"/>
    <w:rsid w:val="0000196B"/>
    <w:rsid w:val="000025DE"/>
    <w:rsid w:val="0000462E"/>
    <w:rsid w:val="00005FCE"/>
    <w:rsid w:val="0001017C"/>
    <w:rsid w:val="00011FCA"/>
    <w:rsid w:val="0001203F"/>
    <w:rsid w:val="00013459"/>
    <w:rsid w:val="00013813"/>
    <w:rsid w:val="00014276"/>
    <w:rsid w:val="000179C6"/>
    <w:rsid w:val="0002100C"/>
    <w:rsid w:val="00021BE8"/>
    <w:rsid w:val="00023E03"/>
    <w:rsid w:val="00024E33"/>
    <w:rsid w:val="00025635"/>
    <w:rsid w:val="00026A2E"/>
    <w:rsid w:val="0003134F"/>
    <w:rsid w:val="00031521"/>
    <w:rsid w:val="00032319"/>
    <w:rsid w:val="00032690"/>
    <w:rsid w:val="000331D3"/>
    <w:rsid w:val="00035BBD"/>
    <w:rsid w:val="00036A18"/>
    <w:rsid w:val="00036C84"/>
    <w:rsid w:val="00037464"/>
    <w:rsid w:val="00037DBD"/>
    <w:rsid w:val="00037F6D"/>
    <w:rsid w:val="00041992"/>
    <w:rsid w:val="00041AF3"/>
    <w:rsid w:val="0004201A"/>
    <w:rsid w:val="00042998"/>
    <w:rsid w:val="00044B89"/>
    <w:rsid w:val="00044D96"/>
    <w:rsid w:val="00045509"/>
    <w:rsid w:val="00046CF1"/>
    <w:rsid w:val="0005089C"/>
    <w:rsid w:val="000519B6"/>
    <w:rsid w:val="00055A11"/>
    <w:rsid w:val="0006023A"/>
    <w:rsid w:val="000662C5"/>
    <w:rsid w:val="00067EAC"/>
    <w:rsid w:val="00071871"/>
    <w:rsid w:val="0007221D"/>
    <w:rsid w:val="000736C9"/>
    <w:rsid w:val="00073D11"/>
    <w:rsid w:val="0007433E"/>
    <w:rsid w:val="0007529F"/>
    <w:rsid w:val="000755EB"/>
    <w:rsid w:val="00076ABF"/>
    <w:rsid w:val="00076F2B"/>
    <w:rsid w:val="00080B4D"/>
    <w:rsid w:val="00083A45"/>
    <w:rsid w:val="00083F17"/>
    <w:rsid w:val="00085628"/>
    <w:rsid w:val="00085A93"/>
    <w:rsid w:val="00086C68"/>
    <w:rsid w:val="00091A8C"/>
    <w:rsid w:val="00092E82"/>
    <w:rsid w:val="000956B1"/>
    <w:rsid w:val="000957AF"/>
    <w:rsid w:val="000A0DD8"/>
    <w:rsid w:val="000A1B7B"/>
    <w:rsid w:val="000A28C7"/>
    <w:rsid w:val="000A45CA"/>
    <w:rsid w:val="000A5804"/>
    <w:rsid w:val="000A5D79"/>
    <w:rsid w:val="000B1F0A"/>
    <w:rsid w:val="000B2090"/>
    <w:rsid w:val="000B20AC"/>
    <w:rsid w:val="000B474E"/>
    <w:rsid w:val="000B58D3"/>
    <w:rsid w:val="000C11CD"/>
    <w:rsid w:val="000C1288"/>
    <w:rsid w:val="000C22F7"/>
    <w:rsid w:val="000C2445"/>
    <w:rsid w:val="000C3E74"/>
    <w:rsid w:val="000C5B55"/>
    <w:rsid w:val="000C60EE"/>
    <w:rsid w:val="000C6669"/>
    <w:rsid w:val="000C6A31"/>
    <w:rsid w:val="000C7695"/>
    <w:rsid w:val="000D0876"/>
    <w:rsid w:val="000D1D1B"/>
    <w:rsid w:val="000D25C8"/>
    <w:rsid w:val="000D2949"/>
    <w:rsid w:val="000D3A22"/>
    <w:rsid w:val="000D4F82"/>
    <w:rsid w:val="000D694B"/>
    <w:rsid w:val="000D754C"/>
    <w:rsid w:val="000E0A88"/>
    <w:rsid w:val="000E1B2F"/>
    <w:rsid w:val="000E3917"/>
    <w:rsid w:val="000E51A4"/>
    <w:rsid w:val="000E52D5"/>
    <w:rsid w:val="000E5DC8"/>
    <w:rsid w:val="000E5E71"/>
    <w:rsid w:val="000E6AD3"/>
    <w:rsid w:val="000F11AB"/>
    <w:rsid w:val="000F156C"/>
    <w:rsid w:val="000F3337"/>
    <w:rsid w:val="000F5FF9"/>
    <w:rsid w:val="000F7031"/>
    <w:rsid w:val="000F73D8"/>
    <w:rsid w:val="000F7D7F"/>
    <w:rsid w:val="0010269B"/>
    <w:rsid w:val="00103D59"/>
    <w:rsid w:val="00107575"/>
    <w:rsid w:val="0011277A"/>
    <w:rsid w:val="00112DDA"/>
    <w:rsid w:val="00116267"/>
    <w:rsid w:val="00120821"/>
    <w:rsid w:val="001222B6"/>
    <w:rsid w:val="00123818"/>
    <w:rsid w:val="00124636"/>
    <w:rsid w:val="001246C2"/>
    <w:rsid w:val="001248EE"/>
    <w:rsid w:val="00125A98"/>
    <w:rsid w:val="00126B6D"/>
    <w:rsid w:val="00127409"/>
    <w:rsid w:val="00131F41"/>
    <w:rsid w:val="0013318A"/>
    <w:rsid w:val="00134B1F"/>
    <w:rsid w:val="00134CF9"/>
    <w:rsid w:val="00134EAE"/>
    <w:rsid w:val="00136D8E"/>
    <w:rsid w:val="00141439"/>
    <w:rsid w:val="00141AF9"/>
    <w:rsid w:val="001437B5"/>
    <w:rsid w:val="00145656"/>
    <w:rsid w:val="0015087B"/>
    <w:rsid w:val="001557D7"/>
    <w:rsid w:val="00156FAE"/>
    <w:rsid w:val="0016069B"/>
    <w:rsid w:val="00160782"/>
    <w:rsid w:val="001608EA"/>
    <w:rsid w:val="00162013"/>
    <w:rsid w:val="00162D6C"/>
    <w:rsid w:val="00170D40"/>
    <w:rsid w:val="00174068"/>
    <w:rsid w:val="00175063"/>
    <w:rsid w:val="00175C16"/>
    <w:rsid w:val="00176EE1"/>
    <w:rsid w:val="001804B9"/>
    <w:rsid w:val="001806A4"/>
    <w:rsid w:val="00180931"/>
    <w:rsid w:val="00182398"/>
    <w:rsid w:val="00182E28"/>
    <w:rsid w:val="00182FF2"/>
    <w:rsid w:val="00184162"/>
    <w:rsid w:val="001850B8"/>
    <w:rsid w:val="001851FE"/>
    <w:rsid w:val="00185951"/>
    <w:rsid w:val="001864A8"/>
    <w:rsid w:val="00187AD2"/>
    <w:rsid w:val="00187E6F"/>
    <w:rsid w:val="00190E93"/>
    <w:rsid w:val="00196575"/>
    <w:rsid w:val="00197818"/>
    <w:rsid w:val="001A2935"/>
    <w:rsid w:val="001A3012"/>
    <w:rsid w:val="001A639A"/>
    <w:rsid w:val="001A7007"/>
    <w:rsid w:val="001A7190"/>
    <w:rsid w:val="001B1FC3"/>
    <w:rsid w:val="001B255F"/>
    <w:rsid w:val="001B28CA"/>
    <w:rsid w:val="001B2905"/>
    <w:rsid w:val="001B2C66"/>
    <w:rsid w:val="001B70CF"/>
    <w:rsid w:val="001B7E2B"/>
    <w:rsid w:val="001C1377"/>
    <w:rsid w:val="001C3762"/>
    <w:rsid w:val="001C449D"/>
    <w:rsid w:val="001C57F1"/>
    <w:rsid w:val="001C590C"/>
    <w:rsid w:val="001C59E5"/>
    <w:rsid w:val="001C7D72"/>
    <w:rsid w:val="001D1DB9"/>
    <w:rsid w:val="001D2C53"/>
    <w:rsid w:val="001D2DCF"/>
    <w:rsid w:val="001D38CF"/>
    <w:rsid w:val="001D65F5"/>
    <w:rsid w:val="001D6876"/>
    <w:rsid w:val="001D68E6"/>
    <w:rsid w:val="001D748E"/>
    <w:rsid w:val="001D7BFA"/>
    <w:rsid w:val="001E1A22"/>
    <w:rsid w:val="001E1E2C"/>
    <w:rsid w:val="001E46A3"/>
    <w:rsid w:val="001E672E"/>
    <w:rsid w:val="001E7BF3"/>
    <w:rsid w:val="001F1BB9"/>
    <w:rsid w:val="001F5E0B"/>
    <w:rsid w:val="001F5FD5"/>
    <w:rsid w:val="001F73F5"/>
    <w:rsid w:val="001F7875"/>
    <w:rsid w:val="00200EFB"/>
    <w:rsid w:val="00201DB6"/>
    <w:rsid w:val="002037E6"/>
    <w:rsid w:val="00204C88"/>
    <w:rsid w:val="00205810"/>
    <w:rsid w:val="00210B32"/>
    <w:rsid w:val="002123FC"/>
    <w:rsid w:val="00213338"/>
    <w:rsid w:val="00215217"/>
    <w:rsid w:val="00216710"/>
    <w:rsid w:val="002172B7"/>
    <w:rsid w:val="002178BA"/>
    <w:rsid w:val="00220BF0"/>
    <w:rsid w:val="00221AB1"/>
    <w:rsid w:val="00221F81"/>
    <w:rsid w:val="00222456"/>
    <w:rsid w:val="00222825"/>
    <w:rsid w:val="00226761"/>
    <w:rsid w:val="00226F9D"/>
    <w:rsid w:val="002271F4"/>
    <w:rsid w:val="00230EFE"/>
    <w:rsid w:val="0023163E"/>
    <w:rsid w:val="00232E62"/>
    <w:rsid w:val="0023445D"/>
    <w:rsid w:val="0023507B"/>
    <w:rsid w:val="002354C8"/>
    <w:rsid w:val="00236173"/>
    <w:rsid w:val="002367B7"/>
    <w:rsid w:val="00241FDB"/>
    <w:rsid w:val="002422CE"/>
    <w:rsid w:val="00242FC3"/>
    <w:rsid w:val="00244758"/>
    <w:rsid w:val="00244851"/>
    <w:rsid w:val="00246993"/>
    <w:rsid w:val="00250CC1"/>
    <w:rsid w:val="002542EC"/>
    <w:rsid w:val="00256CB8"/>
    <w:rsid w:val="0025776A"/>
    <w:rsid w:val="00257CC3"/>
    <w:rsid w:val="002617E6"/>
    <w:rsid w:val="002623B6"/>
    <w:rsid w:val="00271572"/>
    <w:rsid w:val="00272EB3"/>
    <w:rsid w:val="00272ECF"/>
    <w:rsid w:val="00277582"/>
    <w:rsid w:val="00282671"/>
    <w:rsid w:val="00284E54"/>
    <w:rsid w:val="00290E53"/>
    <w:rsid w:val="00290F06"/>
    <w:rsid w:val="00292ADC"/>
    <w:rsid w:val="0029522F"/>
    <w:rsid w:val="0029777D"/>
    <w:rsid w:val="00297CC7"/>
    <w:rsid w:val="002A0520"/>
    <w:rsid w:val="002A0D09"/>
    <w:rsid w:val="002A26CC"/>
    <w:rsid w:val="002A2B21"/>
    <w:rsid w:val="002A3364"/>
    <w:rsid w:val="002A4870"/>
    <w:rsid w:val="002A4F71"/>
    <w:rsid w:val="002A5FEB"/>
    <w:rsid w:val="002A79EC"/>
    <w:rsid w:val="002B0D58"/>
    <w:rsid w:val="002B2E54"/>
    <w:rsid w:val="002B3AC2"/>
    <w:rsid w:val="002B7918"/>
    <w:rsid w:val="002C1482"/>
    <w:rsid w:val="002C195C"/>
    <w:rsid w:val="002C1FA7"/>
    <w:rsid w:val="002C617D"/>
    <w:rsid w:val="002C6D9B"/>
    <w:rsid w:val="002C6DC3"/>
    <w:rsid w:val="002D46AE"/>
    <w:rsid w:val="002D4D13"/>
    <w:rsid w:val="002D6A31"/>
    <w:rsid w:val="002D7D93"/>
    <w:rsid w:val="002E018A"/>
    <w:rsid w:val="002E0569"/>
    <w:rsid w:val="002E0ECA"/>
    <w:rsid w:val="002E4C42"/>
    <w:rsid w:val="002E659E"/>
    <w:rsid w:val="002F0A06"/>
    <w:rsid w:val="002F1569"/>
    <w:rsid w:val="002F22D4"/>
    <w:rsid w:val="002F7899"/>
    <w:rsid w:val="00301AEC"/>
    <w:rsid w:val="0030270A"/>
    <w:rsid w:val="00302E41"/>
    <w:rsid w:val="00305BFF"/>
    <w:rsid w:val="003065B4"/>
    <w:rsid w:val="00307D4B"/>
    <w:rsid w:val="003108EB"/>
    <w:rsid w:val="0031208C"/>
    <w:rsid w:val="00313CC7"/>
    <w:rsid w:val="0031506C"/>
    <w:rsid w:val="00316306"/>
    <w:rsid w:val="00320FE9"/>
    <w:rsid w:val="003219F3"/>
    <w:rsid w:val="003238BD"/>
    <w:rsid w:val="00324989"/>
    <w:rsid w:val="00324A32"/>
    <w:rsid w:val="00325D9C"/>
    <w:rsid w:val="0032721D"/>
    <w:rsid w:val="003273A2"/>
    <w:rsid w:val="00333205"/>
    <w:rsid w:val="003338F3"/>
    <w:rsid w:val="0033406C"/>
    <w:rsid w:val="00337CA6"/>
    <w:rsid w:val="00337F7B"/>
    <w:rsid w:val="003407F3"/>
    <w:rsid w:val="00341323"/>
    <w:rsid w:val="003438F4"/>
    <w:rsid w:val="00344A46"/>
    <w:rsid w:val="00344AA8"/>
    <w:rsid w:val="00344C2C"/>
    <w:rsid w:val="003459F0"/>
    <w:rsid w:val="00347CB0"/>
    <w:rsid w:val="00350032"/>
    <w:rsid w:val="0035044C"/>
    <w:rsid w:val="0035215A"/>
    <w:rsid w:val="00354B0D"/>
    <w:rsid w:val="003565A8"/>
    <w:rsid w:val="00362343"/>
    <w:rsid w:val="00362370"/>
    <w:rsid w:val="0036534D"/>
    <w:rsid w:val="00366F22"/>
    <w:rsid w:val="00367496"/>
    <w:rsid w:val="003703F5"/>
    <w:rsid w:val="00370B29"/>
    <w:rsid w:val="00375FB4"/>
    <w:rsid w:val="00376E6D"/>
    <w:rsid w:val="00381A89"/>
    <w:rsid w:val="0038511C"/>
    <w:rsid w:val="00385F1E"/>
    <w:rsid w:val="00386D08"/>
    <w:rsid w:val="00387632"/>
    <w:rsid w:val="00387AFB"/>
    <w:rsid w:val="0039115C"/>
    <w:rsid w:val="00392836"/>
    <w:rsid w:val="003969F1"/>
    <w:rsid w:val="003A2473"/>
    <w:rsid w:val="003A3A37"/>
    <w:rsid w:val="003A4BF5"/>
    <w:rsid w:val="003A6350"/>
    <w:rsid w:val="003A6988"/>
    <w:rsid w:val="003B0EE1"/>
    <w:rsid w:val="003B1511"/>
    <w:rsid w:val="003B1C7A"/>
    <w:rsid w:val="003B4A51"/>
    <w:rsid w:val="003B4CCF"/>
    <w:rsid w:val="003B57CC"/>
    <w:rsid w:val="003B5925"/>
    <w:rsid w:val="003B5B07"/>
    <w:rsid w:val="003B622F"/>
    <w:rsid w:val="003B68AF"/>
    <w:rsid w:val="003C1202"/>
    <w:rsid w:val="003C3709"/>
    <w:rsid w:val="003D281F"/>
    <w:rsid w:val="003D6260"/>
    <w:rsid w:val="003E26D9"/>
    <w:rsid w:val="003E3A57"/>
    <w:rsid w:val="003E4219"/>
    <w:rsid w:val="003E4F49"/>
    <w:rsid w:val="003E6852"/>
    <w:rsid w:val="003E70A3"/>
    <w:rsid w:val="003E7ADE"/>
    <w:rsid w:val="003E7CC0"/>
    <w:rsid w:val="003F2840"/>
    <w:rsid w:val="003F300C"/>
    <w:rsid w:val="003F46FA"/>
    <w:rsid w:val="003F7879"/>
    <w:rsid w:val="004040C6"/>
    <w:rsid w:val="00404DEE"/>
    <w:rsid w:val="0040574D"/>
    <w:rsid w:val="00406C8F"/>
    <w:rsid w:val="00407765"/>
    <w:rsid w:val="004124B2"/>
    <w:rsid w:val="00412689"/>
    <w:rsid w:val="00416D9E"/>
    <w:rsid w:val="004172F4"/>
    <w:rsid w:val="004207F3"/>
    <w:rsid w:val="00421F3B"/>
    <w:rsid w:val="00422484"/>
    <w:rsid w:val="00424797"/>
    <w:rsid w:val="00425F27"/>
    <w:rsid w:val="00425FA4"/>
    <w:rsid w:val="0042796C"/>
    <w:rsid w:val="0043008D"/>
    <w:rsid w:val="004341E3"/>
    <w:rsid w:val="004357BF"/>
    <w:rsid w:val="00446EFF"/>
    <w:rsid w:val="0044748C"/>
    <w:rsid w:val="00452B9B"/>
    <w:rsid w:val="00453352"/>
    <w:rsid w:val="0045352E"/>
    <w:rsid w:val="00456932"/>
    <w:rsid w:val="00456D14"/>
    <w:rsid w:val="0046041E"/>
    <w:rsid w:val="00462990"/>
    <w:rsid w:val="00463559"/>
    <w:rsid w:val="00465DDF"/>
    <w:rsid w:val="0047088A"/>
    <w:rsid w:val="00471B43"/>
    <w:rsid w:val="00471E05"/>
    <w:rsid w:val="00472984"/>
    <w:rsid w:val="004729F9"/>
    <w:rsid w:val="00473FDA"/>
    <w:rsid w:val="004756FA"/>
    <w:rsid w:val="00475921"/>
    <w:rsid w:val="004759EE"/>
    <w:rsid w:val="00476C77"/>
    <w:rsid w:val="00482355"/>
    <w:rsid w:val="0048308C"/>
    <w:rsid w:val="00493979"/>
    <w:rsid w:val="00494E57"/>
    <w:rsid w:val="004970EC"/>
    <w:rsid w:val="004A0701"/>
    <w:rsid w:val="004A5B06"/>
    <w:rsid w:val="004A5E95"/>
    <w:rsid w:val="004A666D"/>
    <w:rsid w:val="004A67AF"/>
    <w:rsid w:val="004A6A4E"/>
    <w:rsid w:val="004A7B7E"/>
    <w:rsid w:val="004B10C2"/>
    <w:rsid w:val="004B3D9E"/>
    <w:rsid w:val="004B5B18"/>
    <w:rsid w:val="004B60D4"/>
    <w:rsid w:val="004B6E1B"/>
    <w:rsid w:val="004B72CE"/>
    <w:rsid w:val="004C068B"/>
    <w:rsid w:val="004C16F5"/>
    <w:rsid w:val="004C3075"/>
    <w:rsid w:val="004C34D9"/>
    <w:rsid w:val="004C41BA"/>
    <w:rsid w:val="004C4A5A"/>
    <w:rsid w:val="004D0A84"/>
    <w:rsid w:val="004D17EA"/>
    <w:rsid w:val="004D1C28"/>
    <w:rsid w:val="004D22FF"/>
    <w:rsid w:val="004D2428"/>
    <w:rsid w:val="004D24AA"/>
    <w:rsid w:val="004D38CC"/>
    <w:rsid w:val="004D3A99"/>
    <w:rsid w:val="004D78AD"/>
    <w:rsid w:val="004E06E2"/>
    <w:rsid w:val="004E7439"/>
    <w:rsid w:val="004E7B94"/>
    <w:rsid w:val="004F01D4"/>
    <w:rsid w:val="004F13C5"/>
    <w:rsid w:val="004F1529"/>
    <w:rsid w:val="004F1E02"/>
    <w:rsid w:val="004F348D"/>
    <w:rsid w:val="004F710A"/>
    <w:rsid w:val="004F730E"/>
    <w:rsid w:val="00500C46"/>
    <w:rsid w:val="005014A2"/>
    <w:rsid w:val="00502704"/>
    <w:rsid w:val="0050353F"/>
    <w:rsid w:val="0050375B"/>
    <w:rsid w:val="0050548C"/>
    <w:rsid w:val="00505512"/>
    <w:rsid w:val="00505B81"/>
    <w:rsid w:val="00505C52"/>
    <w:rsid w:val="005102D5"/>
    <w:rsid w:val="00511304"/>
    <w:rsid w:val="00511851"/>
    <w:rsid w:val="00511CCF"/>
    <w:rsid w:val="00512F19"/>
    <w:rsid w:val="00513154"/>
    <w:rsid w:val="005140D6"/>
    <w:rsid w:val="00515208"/>
    <w:rsid w:val="0052027D"/>
    <w:rsid w:val="005208AE"/>
    <w:rsid w:val="00522142"/>
    <w:rsid w:val="005224A5"/>
    <w:rsid w:val="00522609"/>
    <w:rsid w:val="00522A64"/>
    <w:rsid w:val="00522A83"/>
    <w:rsid w:val="005238C0"/>
    <w:rsid w:val="0052782C"/>
    <w:rsid w:val="00530ECB"/>
    <w:rsid w:val="00531296"/>
    <w:rsid w:val="00531CC9"/>
    <w:rsid w:val="005339A4"/>
    <w:rsid w:val="005354AB"/>
    <w:rsid w:val="005362E1"/>
    <w:rsid w:val="00536E79"/>
    <w:rsid w:val="00540585"/>
    <w:rsid w:val="00542386"/>
    <w:rsid w:val="00543298"/>
    <w:rsid w:val="005443F8"/>
    <w:rsid w:val="00545E02"/>
    <w:rsid w:val="00546F86"/>
    <w:rsid w:val="00550168"/>
    <w:rsid w:val="005516A7"/>
    <w:rsid w:val="005541EE"/>
    <w:rsid w:val="00555E22"/>
    <w:rsid w:val="0055647E"/>
    <w:rsid w:val="00556C26"/>
    <w:rsid w:val="00556E48"/>
    <w:rsid w:val="00561FAE"/>
    <w:rsid w:val="005628BE"/>
    <w:rsid w:val="00562AED"/>
    <w:rsid w:val="0056324F"/>
    <w:rsid w:val="005638EA"/>
    <w:rsid w:val="00564618"/>
    <w:rsid w:val="00564D41"/>
    <w:rsid w:val="00564D56"/>
    <w:rsid w:val="00565593"/>
    <w:rsid w:val="005659A4"/>
    <w:rsid w:val="00566AE2"/>
    <w:rsid w:val="00570B75"/>
    <w:rsid w:val="00570EE0"/>
    <w:rsid w:val="00571C6F"/>
    <w:rsid w:val="00571E21"/>
    <w:rsid w:val="00573DF6"/>
    <w:rsid w:val="00575FD2"/>
    <w:rsid w:val="00577158"/>
    <w:rsid w:val="005777AB"/>
    <w:rsid w:val="00580154"/>
    <w:rsid w:val="00580627"/>
    <w:rsid w:val="005807E1"/>
    <w:rsid w:val="00590113"/>
    <w:rsid w:val="00591B71"/>
    <w:rsid w:val="00592AED"/>
    <w:rsid w:val="00594551"/>
    <w:rsid w:val="005954F0"/>
    <w:rsid w:val="005961F8"/>
    <w:rsid w:val="00597335"/>
    <w:rsid w:val="005979B4"/>
    <w:rsid w:val="00597A0E"/>
    <w:rsid w:val="005A27CD"/>
    <w:rsid w:val="005A2805"/>
    <w:rsid w:val="005A28FE"/>
    <w:rsid w:val="005A5478"/>
    <w:rsid w:val="005A5D6D"/>
    <w:rsid w:val="005A7B65"/>
    <w:rsid w:val="005B0007"/>
    <w:rsid w:val="005B0821"/>
    <w:rsid w:val="005B0981"/>
    <w:rsid w:val="005B211D"/>
    <w:rsid w:val="005B386B"/>
    <w:rsid w:val="005B3F4A"/>
    <w:rsid w:val="005B5657"/>
    <w:rsid w:val="005B5E70"/>
    <w:rsid w:val="005C3799"/>
    <w:rsid w:val="005C62DB"/>
    <w:rsid w:val="005C6E60"/>
    <w:rsid w:val="005D2FA5"/>
    <w:rsid w:val="005D7118"/>
    <w:rsid w:val="005E0560"/>
    <w:rsid w:val="005E2354"/>
    <w:rsid w:val="005E353B"/>
    <w:rsid w:val="005E36A8"/>
    <w:rsid w:val="005E4149"/>
    <w:rsid w:val="005E7489"/>
    <w:rsid w:val="005F218E"/>
    <w:rsid w:val="005F2B4A"/>
    <w:rsid w:val="005F2B70"/>
    <w:rsid w:val="005F37D7"/>
    <w:rsid w:val="005F4830"/>
    <w:rsid w:val="005F516B"/>
    <w:rsid w:val="005F65EE"/>
    <w:rsid w:val="00601DE8"/>
    <w:rsid w:val="00601EE9"/>
    <w:rsid w:val="0060404E"/>
    <w:rsid w:val="00605549"/>
    <w:rsid w:val="00605F07"/>
    <w:rsid w:val="0060745E"/>
    <w:rsid w:val="00607B8B"/>
    <w:rsid w:val="00610B32"/>
    <w:rsid w:val="00611D73"/>
    <w:rsid w:val="006153B1"/>
    <w:rsid w:val="00615BBF"/>
    <w:rsid w:val="00615DCD"/>
    <w:rsid w:val="006166CC"/>
    <w:rsid w:val="0062233C"/>
    <w:rsid w:val="00622530"/>
    <w:rsid w:val="006227D5"/>
    <w:rsid w:val="00623F96"/>
    <w:rsid w:val="00632589"/>
    <w:rsid w:val="006329D2"/>
    <w:rsid w:val="00634919"/>
    <w:rsid w:val="00635169"/>
    <w:rsid w:val="00641B68"/>
    <w:rsid w:val="006462FF"/>
    <w:rsid w:val="006565F2"/>
    <w:rsid w:val="0066057D"/>
    <w:rsid w:val="0066143D"/>
    <w:rsid w:val="00664DE7"/>
    <w:rsid w:val="0066536E"/>
    <w:rsid w:val="006663BC"/>
    <w:rsid w:val="00667381"/>
    <w:rsid w:val="006674A1"/>
    <w:rsid w:val="00670CA7"/>
    <w:rsid w:val="0067402E"/>
    <w:rsid w:val="0067503E"/>
    <w:rsid w:val="00675D54"/>
    <w:rsid w:val="00677ACA"/>
    <w:rsid w:val="00680F6B"/>
    <w:rsid w:val="00681F8A"/>
    <w:rsid w:val="00682376"/>
    <w:rsid w:val="00686B64"/>
    <w:rsid w:val="006872B4"/>
    <w:rsid w:val="00687F25"/>
    <w:rsid w:val="00690B77"/>
    <w:rsid w:val="00691AFC"/>
    <w:rsid w:val="00693BA6"/>
    <w:rsid w:val="00694735"/>
    <w:rsid w:val="00694D2E"/>
    <w:rsid w:val="00696627"/>
    <w:rsid w:val="00696F10"/>
    <w:rsid w:val="006978E4"/>
    <w:rsid w:val="00697E63"/>
    <w:rsid w:val="006A2774"/>
    <w:rsid w:val="006A320C"/>
    <w:rsid w:val="006A3296"/>
    <w:rsid w:val="006A32A1"/>
    <w:rsid w:val="006A44F0"/>
    <w:rsid w:val="006A59F3"/>
    <w:rsid w:val="006B0177"/>
    <w:rsid w:val="006B070B"/>
    <w:rsid w:val="006B07BA"/>
    <w:rsid w:val="006B438D"/>
    <w:rsid w:val="006B4D77"/>
    <w:rsid w:val="006B6915"/>
    <w:rsid w:val="006B7402"/>
    <w:rsid w:val="006B7491"/>
    <w:rsid w:val="006B7F75"/>
    <w:rsid w:val="006C45CD"/>
    <w:rsid w:val="006C65AC"/>
    <w:rsid w:val="006C6AE4"/>
    <w:rsid w:val="006D1A5D"/>
    <w:rsid w:val="006D204C"/>
    <w:rsid w:val="006D23F9"/>
    <w:rsid w:val="006D432E"/>
    <w:rsid w:val="006D6E00"/>
    <w:rsid w:val="006D7266"/>
    <w:rsid w:val="006E0500"/>
    <w:rsid w:val="006E05A2"/>
    <w:rsid w:val="006E1227"/>
    <w:rsid w:val="006E1682"/>
    <w:rsid w:val="006E19AE"/>
    <w:rsid w:val="006E1EB0"/>
    <w:rsid w:val="006E21D7"/>
    <w:rsid w:val="006E2573"/>
    <w:rsid w:val="006E28B4"/>
    <w:rsid w:val="006E2E57"/>
    <w:rsid w:val="006E3DFE"/>
    <w:rsid w:val="006E6B9F"/>
    <w:rsid w:val="006F2AF5"/>
    <w:rsid w:val="006F2C3B"/>
    <w:rsid w:val="006F3064"/>
    <w:rsid w:val="006F38A1"/>
    <w:rsid w:val="006F3B61"/>
    <w:rsid w:val="006F6D89"/>
    <w:rsid w:val="00700064"/>
    <w:rsid w:val="007054A7"/>
    <w:rsid w:val="00706099"/>
    <w:rsid w:val="00707830"/>
    <w:rsid w:val="00710C51"/>
    <w:rsid w:val="00712DE8"/>
    <w:rsid w:val="007155E8"/>
    <w:rsid w:val="00721884"/>
    <w:rsid w:val="00722E6D"/>
    <w:rsid w:val="00723719"/>
    <w:rsid w:val="00726A0E"/>
    <w:rsid w:val="00727520"/>
    <w:rsid w:val="0073158C"/>
    <w:rsid w:val="00733F8A"/>
    <w:rsid w:val="00734297"/>
    <w:rsid w:val="00734C07"/>
    <w:rsid w:val="00734F2A"/>
    <w:rsid w:val="00737E5D"/>
    <w:rsid w:val="00741165"/>
    <w:rsid w:val="00746D2B"/>
    <w:rsid w:val="0074727A"/>
    <w:rsid w:val="007474B7"/>
    <w:rsid w:val="00747F3B"/>
    <w:rsid w:val="00753165"/>
    <w:rsid w:val="0075372B"/>
    <w:rsid w:val="00753B27"/>
    <w:rsid w:val="007570C0"/>
    <w:rsid w:val="00762B58"/>
    <w:rsid w:val="007635D2"/>
    <w:rsid w:val="00764116"/>
    <w:rsid w:val="00765144"/>
    <w:rsid w:val="00766D20"/>
    <w:rsid w:val="00770761"/>
    <w:rsid w:val="00770842"/>
    <w:rsid w:val="0077279C"/>
    <w:rsid w:val="00772A34"/>
    <w:rsid w:val="00772D77"/>
    <w:rsid w:val="00773A19"/>
    <w:rsid w:val="00775B99"/>
    <w:rsid w:val="00776852"/>
    <w:rsid w:val="00777827"/>
    <w:rsid w:val="00781D18"/>
    <w:rsid w:val="007825B9"/>
    <w:rsid w:val="00783908"/>
    <w:rsid w:val="00785B8E"/>
    <w:rsid w:val="00786630"/>
    <w:rsid w:val="00787E56"/>
    <w:rsid w:val="00791BE5"/>
    <w:rsid w:val="00792841"/>
    <w:rsid w:val="00792C55"/>
    <w:rsid w:val="007965E4"/>
    <w:rsid w:val="00796F81"/>
    <w:rsid w:val="0079728E"/>
    <w:rsid w:val="007A06DE"/>
    <w:rsid w:val="007A1CDA"/>
    <w:rsid w:val="007A3432"/>
    <w:rsid w:val="007A353C"/>
    <w:rsid w:val="007A38A8"/>
    <w:rsid w:val="007A47AC"/>
    <w:rsid w:val="007A5C40"/>
    <w:rsid w:val="007A6516"/>
    <w:rsid w:val="007A6691"/>
    <w:rsid w:val="007B0159"/>
    <w:rsid w:val="007B24D0"/>
    <w:rsid w:val="007B608C"/>
    <w:rsid w:val="007B71DC"/>
    <w:rsid w:val="007B7C5D"/>
    <w:rsid w:val="007C1EA7"/>
    <w:rsid w:val="007C242F"/>
    <w:rsid w:val="007C253F"/>
    <w:rsid w:val="007C2ADF"/>
    <w:rsid w:val="007C43E5"/>
    <w:rsid w:val="007C6267"/>
    <w:rsid w:val="007D0E22"/>
    <w:rsid w:val="007D3823"/>
    <w:rsid w:val="007D45DD"/>
    <w:rsid w:val="007D4DFB"/>
    <w:rsid w:val="007D6DD0"/>
    <w:rsid w:val="007E1012"/>
    <w:rsid w:val="007E29C2"/>
    <w:rsid w:val="007E4B29"/>
    <w:rsid w:val="007E54FE"/>
    <w:rsid w:val="007E565D"/>
    <w:rsid w:val="007F0199"/>
    <w:rsid w:val="007F24AC"/>
    <w:rsid w:val="007F3E8D"/>
    <w:rsid w:val="007F4EDB"/>
    <w:rsid w:val="007F5100"/>
    <w:rsid w:val="007F5AE5"/>
    <w:rsid w:val="00800E49"/>
    <w:rsid w:val="00802996"/>
    <w:rsid w:val="00804F87"/>
    <w:rsid w:val="00805996"/>
    <w:rsid w:val="00806D4D"/>
    <w:rsid w:val="00807137"/>
    <w:rsid w:val="00810B8F"/>
    <w:rsid w:val="00810CB7"/>
    <w:rsid w:val="00811626"/>
    <w:rsid w:val="00811F4A"/>
    <w:rsid w:val="00812244"/>
    <w:rsid w:val="0081473B"/>
    <w:rsid w:val="00814928"/>
    <w:rsid w:val="00816072"/>
    <w:rsid w:val="0081678C"/>
    <w:rsid w:val="00820EF2"/>
    <w:rsid w:val="0082124E"/>
    <w:rsid w:val="0082360B"/>
    <w:rsid w:val="00823A92"/>
    <w:rsid w:val="00823CAA"/>
    <w:rsid w:val="0082402A"/>
    <w:rsid w:val="0082592E"/>
    <w:rsid w:val="008305A1"/>
    <w:rsid w:val="00831F06"/>
    <w:rsid w:val="0083232C"/>
    <w:rsid w:val="00832E5C"/>
    <w:rsid w:val="008357F2"/>
    <w:rsid w:val="00835F6D"/>
    <w:rsid w:val="0083615A"/>
    <w:rsid w:val="00837DE3"/>
    <w:rsid w:val="00841660"/>
    <w:rsid w:val="00841F7D"/>
    <w:rsid w:val="0084285C"/>
    <w:rsid w:val="00843779"/>
    <w:rsid w:val="008445F5"/>
    <w:rsid w:val="008451DB"/>
    <w:rsid w:val="00845A04"/>
    <w:rsid w:val="00847BE9"/>
    <w:rsid w:val="00852828"/>
    <w:rsid w:val="008529A1"/>
    <w:rsid w:val="008529BC"/>
    <w:rsid w:val="00852DE4"/>
    <w:rsid w:val="00854DAF"/>
    <w:rsid w:val="008559C6"/>
    <w:rsid w:val="00856120"/>
    <w:rsid w:val="00861EC7"/>
    <w:rsid w:val="00862BCF"/>
    <w:rsid w:val="00862EB8"/>
    <w:rsid w:val="0086344B"/>
    <w:rsid w:val="00864353"/>
    <w:rsid w:val="008643EF"/>
    <w:rsid w:val="00866BD4"/>
    <w:rsid w:val="0087019D"/>
    <w:rsid w:val="00870793"/>
    <w:rsid w:val="00870CF9"/>
    <w:rsid w:val="008721B3"/>
    <w:rsid w:val="00874214"/>
    <w:rsid w:val="008758CC"/>
    <w:rsid w:val="0087663C"/>
    <w:rsid w:val="008766FB"/>
    <w:rsid w:val="00881FE2"/>
    <w:rsid w:val="008840DD"/>
    <w:rsid w:val="00884271"/>
    <w:rsid w:val="008864F6"/>
    <w:rsid w:val="00887591"/>
    <w:rsid w:val="00887DCA"/>
    <w:rsid w:val="00890697"/>
    <w:rsid w:val="0089142E"/>
    <w:rsid w:val="0089220D"/>
    <w:rsid w:val="00892D20"/>
    <w:rsid w:val="00894276"/>
    <w:rsid w:val="008947F2"/>
    <w:rsid w:val="00897756"/>
    <w:rsid w:val="008A0302"/>
    <w:rsid w:val="008A0EB2"/>
    <w:rsid w:val="008A0EDF"/>
    <w:rsid w:val="008A2321"/>
    <w:rsid w:val="008A3511"/>
    <w:rsid w:val="008A5BA1"/>
    <w:rsid w:val="008A5E84"/>
    <w:rsid w:val="008A62B4"/>
    <w:rsid w:val="008A6435"/>
    <w:rsid w:val="008C0AF9"/>
    <w:rsid w:val="008C263A"/>
    <w:rsid w:val="008C4660"/>
    <w:rsid w:val="008C5A9C"/>
    <w:rsid w:val="008C63ED"/>
    <w:rsid w:val="008C76CC"/>
    <w:rsid w:val="008D510C"/>
    <w:rsid w:val="008D5DDA"/>
    <w:rsid w:val="008D6AD7"/>
    <w:rsid w:val="008E1C02"/>
    <w:rsid w:val="008E31DD"/>
    <w:rsid w:val="008E431A"/>
    <w:rsid w:val="008E434A"/>
    <w:rsid w:val="008E483F"/>
    <w:rsid w:val="008E583E"/>
    <w:rsid w:val="008E6DE7"/>
    <w:rsid w:val="008F1C39"/>
    <w:rsid w:val="008F2177"/>
    <w:rsid w:val="008F2FC4"/>
    <w:rsid w:val="008F3658"/>
    <w:rsid w:val="008F4469"/>
    <w:rsid w:val="008F66B2"/>
    <w:rsid w:val="008F68B2"/>
    <w:rsid w:val="00900F5B"/>
    <w:rsid w:val="00903966"/>
    <w:rsid w:val="009050DB"/>
    <w:rsid w:val="009076A8"/>
    <w:rsid w:val="00907EAD"/>
    <w:rsid w:val="009120E1"/>
    <w:rsid w:val="00913C8A"/>
    <w:rsid w:val="00914D56"/>
    <w:rsid w:val="00914D60"/>
    <w:rsid w:val="00914EB9"/>
    <w:rsid w:val="00916A5F"/>
    <w:rsid w:val="00921E80"/>
    <w:rsid w:val="00923335"/>
    <w:rsid w:val="0092404F"/>
    <w:rsid w:val="00925431"/>
    <w:rsid w:val="00925DC4"/>
    <w:rsid w:val="00926196"/>
    <w:rsid w:val="009273BB"/>
    <w:rsid w:val="009317B1"/>
    <w:rsid w:val="009335F9"/>
    <w:rsid w:val="00934D39"/>
    <w:rsid w:val="00940005"/>
    <w:rsid w:val="0094029C"/>
    <w:rsid w:val="00941194"/>
    <w:rsid w:val="009412AC"/>
    <w:rsid w:val="009422AD"/>
    <w:rsid w:val="0094262E"/>
    <w:rsid w:val="00943E29"/>
    <w:rsid w:val="00944412"/>
    <w:rsid w:val="009454E5"/>
    <w:rsid w:val="0095163F"/>
    <w:rsid w:val="00954C6D"/>
    <w:rsid w:val="00960B8B"/>
    <w:rsid w:val="00963493"/>
    <w:rsid w:val="009637D1"/>
    <w:rsid w:val="009648A5"/>
    <w:rsid w:val="0097098A"/>
    <w:rsid w:val="00971F9E"/>
    <w:rsid w:val="00982F33"/>
    <w:rsid w:val="009835CC"/>
    <w:rsid w:val="00987FC3"/>
    <w:rsid w:val="00990005"/>
    <w:rsid w:val="00990377"/>
    <w:rsid w:val="00992C99"/>
    <w:rsid w:val="00992CCA"/>
    <w:rsid w:val="00992CD7"/>
    <w:rsid w:val="00992F50"/>
    <w:rsid w:val="00997D8B"/>
    <w:rsid w:val="009A110A"/>
    <w:rsid w:val="009A1E05"/>
    <w:rsid w:val="009A3116"/>
    <w:rsid w:val="009A574A"/>
    <w:rsid w:val="009A6394"/>
    <w:rsid w:val="009B0D07"/>
    <w:rsid w:val="009B196C"/>
    <w:rsid w:val="009B34EC"/>
    <w:rsid w:val="009B460B"/>
    <w:rsid w:val="009C3C35"/>
    <w:rsid w:val="009C4C4F"/>
    <w:rsid w:val="009C6470"/>
    <w:rsid w:val="009D01E5"/>
    <w:rsid w:val="009D23F2"/>
    <w:rsid w:val="009D56A0"/>
    <w:rsid w:val="009D5B40"/>
    <w:rsid w:val="009D76F3"/>
    <w:rsid w:val="009D791A"/>
    <w:rsid w:val="009D7D57"/>
    <w:rsid w:val="009F0038"/>
    <w:rsid w:val="009F067B"/>
    <w:rsid w:val="009F0864"/>
    <w:rsid w:val="009F225C"/>
    <w:rsid w:val="009F2847"/>
    <w:rsid w:val="009F2E5B"/>
    <w:rsid w:val="009F3823"/>
    <w:rsid w:val="009F4884"/>
    <w:rsid w:val="009F5AAB"/>
    <w:rsid w:val="009F6927"/>
    <w:rsid w:val="009F76FD"/>
    <w:rsid w:val="009F7814"/>
    <w:rsid w:val="009F7A6F"/>
    <w:rsid w:val="00A01FEF"/>
    <w:rsid w:val="00A038B0"/>
    <w:rsid w:val="00A03996"/>
    <w:rsid w:val="00A039E6"/>
    <w:rsid w:val="00A0438C"/>
    <w:rsid w:val="00A057DC"/>
    <w:rsid w:val="00A06103"/>
    <w:rsid w:val="00A11057"/>
    <w:rsid w:val="00A11773"/>
    <w:rsid w:val="00A11F5D"/>
    <w:rsid w:val="00A12362"/>
    <w:rsid w:val="00A12A2A"/>
    <w:rsid w:val="00A150B9"/>
    <w:rsid w:val="00A1614F"/>
    <w:rsid w:val="00A17ABC"/>
    <w:rsid w:val="00A22BA3"/>
    <w:rsid w:val="00A22E1F"/>
    <w:rsid w:val="00A23247"/>
    <w:rsid w:val="00A23FB3"/>
    <w:rsid w:val="00A27599"/>
    <w:rsid w:val="00A27B93"/>
    <w:rsid w:val="00A30A6C"/>
    <w:rsid w:val="00A3123C"/>
    <w:rsid w:val="00A32380"/>
    <w:rsid w:val="00A32CB9"/>
    <w:rsid w:val="00A33FD7"/>
    <w:rsid w:val="00A341B0"/>
    <w:rsid w:val="00A34DA3"/>
    <w:rsid w:val="00A40FBC"/>
    <w:rsid w:val="00A44322"/>
    <w:rsid w:val="00A4433F"/>
    <w:rsid w:val="00A45513"/>
    <w:rsid w:val="00A45EDC"/>
    <w:rsid w:val="00A465D1"/>
    <w:rsid w:val="00A47AD9"/>
    <w:rsid w:val="00A538A3"/>
    <w:rsid w:val="00A541CB"/>
    <w:rsid w:val="00A56FEE"/>
    <w:rsid w:val="00A604D5"/>
    <w:rsid w:val="00A620DF"/>
    <w:rsid w:val="00A62F35"/>
    <w:rsid w:val="00A6381F"/>
    <w:rsid w:val="00A66AD7"/>
    <w:rsid w:val="00A67E4A"/>
    <w:rsid w:val="00A71DC9"/>
    <w:rsid w:val="00A73733"/>
    <w:rsid w:val="00A7560F"/>
    <w:rsid w:val="00A7644B"/>
    <w:rsid w:val="00A77367"/>
    <w:rsid w:val="00A77DCD"/>
    <w:rsid w:val="00A8086B"/>
    <w:rsid w:val="00A82880"/>
    <w:rsid w:val="00A857BE"/>
    <w:rsid w:val="00A86E61"/>
    <w:rsid w:val="00A87BB6"/>
    <w:rsid w:val="00A90CA0"/>
    <w:rsid w:val="00A9175C"/>
    <w:rsid w:val="00A933F9"/>
    <w:rsid w:val="00A943CB"/>
    <w:rsid w:val="00A9478D"/>
    <w:rsid w:val="00A97229"/>
    <w:rsid w:val="00AA05BD"/>
    <w:rsid w:val="00AA101B"/>
    <w:rsid w:val="00AA1BD9"/>
    <w:rsid w:val="00AA547F"/>
    <w:rsid w:val="00AA60D3"/>
    <w:rsid w:val="00AB1BFA"/>
    <w:rsid w:val="00AB2A7D"/>
    <w:rsid w:val="00AB5CA3"/>
    <w:rsid w:val="00AB7672"/>
    <w:rsid w:val="00AC08D8"/>
    <w:rsid w:val="00AC2A84"/>
    <w:rsid w:val="00AC4501"/>
    <w:rsid w:val="00AC4E38"/>
    <w:rsid w:val="00AC5320"/>
    <w:rsid w:val="00AC6AE9"/>
    <w:rsid w:val="00AC7D16"/>
    <w:rsid w:val="00AC7DAD"/>
    <w:rsid w:val="00AD22B9"/>
    <w:rsid w:val="00AD2744"/>
    <w:rsid w:val="00AD579E"/>
    <w:rsid w:val="00AD6243"/>
    <w:rsid w:val="00AD6B03"/>
    <w:rsid w:val="00AE0234"/>
    <w:rsid w:val="00AE17C3"/>
    <w:rsid w:val="00AE297E"/>
    <w:rsid w:val="00AE2F2C"/>
    <w:rsid w:val="00AE58F3"/>
    <w:rsid w:val="00AE5A46"/>
    <w:rsid w:val="00AE69DF"/>
    <w:rsid w:val="00AE7BC2"/>
    <w:rsid w:val="00AE7E22"/>
    <w:rsid w:val="00AF2304"/>
    <w:rsid w:val="00AF3475"/>
    <w:rsid w:val="00AF4E55"/>
    <w:rsid w:val="00AF5B04"/>
    <w:rsid w:val="00AF5FB9"/>
    <w:rsid w:val="00B005AA"/>
    <w:rsid w:val="00B00EFC"/>
    <w:rsid w:val="00B01ED8"/>
    <w:rsid w:val="00B051F9"/>
    <w:rsid w:val="00B105CC"/>
    <w:rsid w:val="00B12F65"/>
    <w:rsid w:val="00B14130"/>
    <w:rsid w:val="00B14B70"/>
    <w:rsid w:val="00B173EA"/>
    <w:rsid w:val="00B1748F"/>
    <w:rsid w:val="00B17DB4"/>
    <w:rsid w:val="00B21ACF"/>
    <w:rsid w:val="00B22FBC"/>
    <w:rsid w:val="00B2545A"/>
    <w:rsid w:val="00B26382"/>
    <w:rsid w:val="00B301C7"/>
    <w:rsid w:val="00B33271"/>
    <w:rsid w:val="00B36C11"/>
    <w:rsid w:val="00B3793B"/>
    <w:rsid w:val="00B41EF4"/>
    <w:rsid w:val="00B41F02"/>
    <w:rsid w:val="00B428F2"/>
    <w:rsid w:val="00B435FA"/>
    <w:rsid w:val="00B440CE"/>
    <w:rsid w:val="00B445F5"/>
    <w:rsid w:val="00B45A90"/>
    <w:rsid w:val="00B51BF4"/>
    <w:rsid w:val="00B525A6"/>
    <w:rsid w:val="00B55D69"/>
    <w:rsid w:val="00B55FA4"/>
    <w:rsid w:val="00B56E35"/>
    <w:rsid w:val="00B61066"/>
    <w:rsid w:val="00B6201A"/>
    <w:rsid w:val="00B624EF"/>
    <w:rsid w:val="00B62702"/>
    <w:rsid w:val="00B639A2"/>
    <w:rsid w:val="00B64C30"/>
    <w:rsid w:val="00B65D01"/>
    <w:rsid w:val="00B66984"/>
    <w:rsid w:val="00B67D41"/>
    <w:rsid w:val="00B70EE4"/>
    <w:rsid w:val="00B71876"/>
    <w:rsid w:val="00B719B5"/>
    <w:rsid w:val="00B72A25"/>
    <w:rsid w:val="00B73C13"/>
    <w:rsid w:val="00B74A23"/>
    <w:rsid w:val="00B759A6"/>
    <w:rsid w:val="00B76000"/>
    <w:rsid w:val="00B80DA9"/>
    <w:rsid w:val="00B811F0"/>
    <w:rsid w:val="00B81A15"/>
    <w:rsid w:val="00B81E89"/>
    <w:rsid w:val="00B824E2"/>
    <w:rsid w:val="00B82A70"/>
    <w:rsid w:val="00B83526"/>
    <w:rsid w:val="00B84567"/>
    <w:rsid w:val="00B84A43"/>
    <w:rsid w:val="00B84D32"/>
    <w:rsid w:val="00B85A16"/>
    <w:rsid w:val="00B86AAD"/>
    <w:rsid w:val="00B87735"/>
    <w:rsid w:val="00B8792A"/>
    <w:rsid w:val="00B934A6"/>
    <w:rsid w:val="00B94A5A"/>
    <w:rsid w:val="00B957A3"/>
    <w:rsid w:val="00B957CB"/>
    <w:rsid w:val="00B957E2"/>
    <w:rsid w:val="00B96556"/>
    <w:rsid w:val="00B9668C"/>
    <w:rsid w:val="00B96AC9"/>
    <w:rsid w:val="00B96F79"/>
    <w:rsid w:val="00BA17CD"/>
    <w:rsid w:val="00BA23DE"/>
    <w:rsid w:val="00BA2ADE"/>
    <w:rsid w:val="00BA4920"/>
    <w:rsid w:val="00BA4A2A"/>
    <w:rsid w:val="00BA68A3"/>
    <w:rsid w:val="00BA7749"/>
    <w:rsid w:val="00BA7D3F"/>
    <w:rsid w:val="00BB0881"/>
    <w:rsid w:val="00BB0B11"/>
    <w:rsid w:val="00BB21C6"/>
    <w:rsid w:val="00BB29CF"/>
    <w:rsid w:val="00BB29E4"/>
    <w:rsid w:val="00BB2B25"/>
    <w:rsid w:val="00BB4B09"/>
    <w:rsid w:val="00BB56F4"/>
    <w:rsid w:val="00BB5FAB"/>
    <w:rsid w:val="00BB6992"/>
    <w:rsid w:val="00BC05DB"/>
    <w:rsid w:val="00BC2E67"/>
    <w:rsid w:val="00BC40CA"/>
    <w:rsid w:val="00BC52A5"/>
    <w:rsid w:val="00BC5CE3"/>
    <w:rsid w:val="00BC7716"/>
    <w:rsid w:val="00BD1EFD"/>
    <w:rsid w:val="00BD21DF"/>
    <w:rsid w:val="00BD4C88"/>
    <w:rsid w:val="00BD5749"/>
    <w:rsid w:val="00BE038C"/>
    <w:rsid w:val="00BE4FF9"/>
    <w:rsid w:val="00BE53EC"/>
    <w:rsid w:val="00BE6FD5"/>
    <w:rsid w:val="00BF082D"/>
    <w:rsid w:val="00BF1B9D"/>
    <w:rsid w:val="00BF1C38"/>
    <w:rsid w:val="00BF514F"/>
    <w:rsid w:val="00BF5361"/>
    <w:rsid w:val="00C034AE"/>
    <w:rsid w:val="00C06F62"/>
    <w:rsid w:val="00C10B7E"/>
    <w:rsid w:val="00C10DFC"/>
    <w:rsid w:val="00C10F6D"/>
    <w:rsid w:val="00C14CC5"/>
    <w:rsid w:val="00C15824"/>
    <w:rsid w:val="00C15EC3"/>
    <w:rsid w:val="00C207EF"/>
    <w:rsid w:val="00C22B78"/>
    <w:rsid w:val="00C23BBA"/>
    <w:rsid w:val="00C2485E"/>
    <w:rsid w:val="00C252A5"/>
    <w:rsid w:val="00C25406"/>
    <w:rsid w:val="00C2696F"/>
    <w:rsid w:val="00C26C6E"/>
    <w:rsid w:val="00C26D96"/>
    <w:rsid w:val="00C305EF"/>
    <w:rsid w:val="00C31147"/>
    <w:rsid w:val="00C311CA"/>
    <w:rsid w:val="00C31EAA"/>
    <w:rsid w:val="00C34875"/>
    <w:rsid w:val="00C350E6"/>
    <w:rsid w:val="00C364E0"/>
    <w:rsid w:val="00C371F3"/>
    <w:rsid w:val="00C450D1"/>
    <w:rsid w:val="00C47F59"/>
    <w:rsid w:val="00C52C71"/>
    <w:rsid w:val="00C5626F"/>
    <w:rsid w:val="00C60172"/>
    <w:rsid w:val="00C6390E"/>
    <w:rsid w:val="00C65A48"/>
    <w:rsid w:val="00C66C0D"/>
    <w:rsid w:val="00C745A2"/>
    <w:rsid w:val="00C7647E"/>
    <w:rsid w:val="00C77709"/>
    <w:rsid w:val="00C819FF"/>
    <w:rsid w:val="00C87A41"/>
    <w:rsid w:val="00C91159"/>
    <w:rsid w:val="00C920E7"/>
    <w:rsid w:val="00C920EF"/>
    <w:rsid w:val="00C93341"/>
    <w:rsid w:val="00C93AE3"/>
    <w:rsid w:val="00C94363"/>
    <w:rsid w:val="00C9614F"/>
    <w:rsid w:val="00C96D08"/>
    <w:rsid w:val="00C97F06"/>
    <w:rsid w:val="00CA07EB"/>
    <w:rsid w:val="00CA0865"/>
    <w:rsid w:val="00CA1253"/>
    <w:rsid w:val="00CA24A1"/>
    <w:rsid w:val="00CA3D1F"/>
    <w:rsid w:val="00CA3F6C"/>
    <w:rsid w:val="00CA71C1"/>
    <w:rsid w:val="00CB02AA"/>
    <w:rsid w:val="00CB0E41"/>
    <w:rsid w:val="00CB29C8"/>
    <w:rsid w:val="00CB2BEB"/>
    <w:rsid w:val="00CB31B7"/>
    <w:rsid w:val="00CB3578"/>
    <w:rsid w:val="00CB393B"/>
    <w:rsid w:val="00CC01D7"/>
    <w:rsid w:val="00CC04D3"/>
    <w:rsid w:val="00CC0AE2"/>
    <w:rsid w:val="00CC2F49"/>
    <w:rsid w:val="00CC5311"/>
    <w:rsid w:val="00CC5392"/>
    <w:rsid w:val="00CC69DA"/>
    <w:rsid w:val="00CC6F09"/>
    <w:rsid w:val="00CC7815"/>
    <w:rsid w:val="00CD11B3"/>
    <w:rsid w:val="00CD1538"/>
    <w:rsid w:val="00CD1585"/>
    <w:rsid w:val="00CD2180"/>
    <w:rsid w:val="00CD26F7"/>
    <w:rsid w:val="00CD4265"/>
    <w:rsid w:val="00CD4621"/>
    <w:rsid w:val="00CD5BFF"/>
    <w:rsid w:val="00CE01C2"/>
    <w:rsid w:val="00CE0621"/>
    <w:rsid w:val="00CE287F"/>
    <w:rsid w:val="00CE3F42"/>
    <w:rsid w:val="00CE52C1"/>
    <w:rsid w:val="00CE5424"/>
    <w:rsid w:val="00CE6A59"/>
    <w:rsid w:val="00CE7260"/>
    <w:rsid w:val="00CF342F"/>
    <w:rsid w:val="00CF6510"/>
    <w:rsid w:val="00D00C83"/>
    <w:rsid w:val="00D01FB1"/>
    <w:rsid w:val="00D02D58"/>
    <w:rsid w:val="00D03E82"/>
    <w:rsid w:val="00D043CB"/>
    <w:rsid w:val="00D075E8"/>
    <w:rsid w:val="00D07D12"/>
    <w:rsid w:val="00D107E1"/>
    <w:rsid w:val="00D10B0C"/>
    <w:rsid w:val="00D124CB"/>
    <w:rsid w:val="00D14062"/>
    <w:rsid w:val="00D150C6"/>
    <w:rsid w:val="00D15B42"/>
    <w:rsid w:val="00D1606D"/>
    <w:rsid w:val="00D20B87"/>
    <w:rsid w:val="00D25FB1"/>
    <w:rsid w:val="00D26089"/>
    <w:rsid w:val="00D308DB"/>
    <w:rsid w:val="00D30A07"/>
    <w:rsid w:val="00D30A93"/>
    <w:rsid w:val="00D319A0"/>
    <w:rsid w:val="00D33C1B"/>
    <w:rsid w:val="00D354BC"/>
    <w:rsid w:val="00D369B1"/>
    <w:rsid w:val="00D4199A"/>
    <w:rsid w:val="00D41AC6"/>
    <w:rsid w:val="00D423E0"/>
    <w:rsid w:val="00D43330"/>
    <w:rsid w:val="00D4625B"/>
    <w:rsid w:val="00D5007E"/>
    <w:rsid w:val="00D5132A"/>
    <w:rsid w:val="00D53D8B"/>
    <w:rsid w:val="00D5588C"/>
    <w:rsid w:val="00D5615B"/>
    <w:rsid w:val="00D573CD"/>
    <w:rsid w:val="00D631E8"/>
    <w:rsid w:val="00D63722"/>
    <w:rsid w:val="00D656D1"/>
    <w:rsid w:val="00D6584F"/>
    <w:rsid w:val="00D66DA8"/>
    <w:rsid w:val="00D728DE"/>
    <w:rsid w:val="00D76FD3"/>
    <w:rsid w:val="00D80F34"/>
    <w:rsid w:val="00D81807"/>
    <w:rsid w:val="00D81993"/>
    <w:rsid w:val="00D83CC6"/>
    <w:rsid w:val="00D87B09"/>
    <w:rsid w:val="00D900FD"/>
    <w:rsid w:val="00D91E34"/>
    <w:rsid w:val="00D93FEF"/>
    <w:rsid w:val="00D94315"/>
    <w:rsid w:val="00D946D7"/>
    <w:rsid w:val="00D95F2B"/>
    <w:rsid w:val="00DA55D8"/>
    <w:rsid w:val="00DA58D4"/>
    <w:rsid w:val="00DA5CC8"/>
    <w:rsid w:val="00DB0580"/>
    <w:rsid w:val="00DB11A0"/>
    <w:rsid w:val="00DB569C"/>
    <w:rsid w:val="00DB5AF4"/>
    <w:rsid w:val="00DB62AB"/>
    <w:rsid w:val="00DB7131"/>
    <w:rsid w:val="00DB77DA"/>
    <w:rsid w:val="00DC0D02"/>
    <w:rsid w:val="00DC1B40"/>
    <w:rsid w:val="00DC3433"/>
    <w:rsid w:val="00DC4921"/>
    <w:rsid w:val="00DC5DB2"/>
    <w:rsid w:val="00DC6962"/>
    <w:rsid w:val="00DC6D4F"/>
    <w:rsid w:val="00DD1564"/>
    <w:rsid w:val="00DD472E"/>
    <w:rsid w:val="00DD4A2B"/>
    <w:rsid w:val="00DD5906"/>
    <w:rsid w:val="00DE0345"/>
    <w:rsid w:val="00DE1C15"/>
    <w:rsid w:val="00DE26D7"/>
    <w:rsid w:val="00DE3EEB"/>
    <w:rsid w:val="00DE45CC"/>
    <w:rsid w:val="00DE47C2"/>
    <w:rsid w:val="00DE5B1D"/>
    <w:rsid w:val="00DE65C4"/>
    <w:rsid w:val="00DE7085"/>
    <w:rsid w:val="00DE7215"/>
    <w:rsid w:val="00DF183E"/>
    <w:rsid w:val="00DF2B13"/>
    <w:rsid w:val="00DF2C9A"/>
    <w:rsid w:val="00DF2DCC"/>
    <w:rsid w:val="00DF4223"/>
    <w:rsid w:val="00DF6397"/>
    <w:rsid w:val="00DF658E"/>
    <w:rsid w:val="00DF71F8"/>
    <w:rsid w:val="00DF728A"/>
    <w:rsid w:val="00E0009D"/>
    <w:rsid w:val="00E01144"/>
    <w:rsid w:val="00E02BD7"/>
    <w:rsid w:val="00E04623"/>
    <w:rsid w:val="00E049DB"/>
    <w:rsid w:val="00E118B8"/>
    <w:rsid w:val="00E15B73"/>
    <w:rsid w:val="00E2048B"/>
    <w:rsid w:val="00E25400"/>
    <w:rsid w:val="00E2722E"/>
    <w:rsid w:val="00E305AE"/>
    <w:rsid w:val="00E30F3A"/>
    <w:rsid w:val="00E31219"/>
    <w:rsid w:val="00E315E6"/>
    <w:rsid w:val="00E317C6"/>
    <w:rsid w:val="00E31EDE"/>
    <w:rsid w:val="00E35438"/>
    <w:rsid w:val="00E35575"/>
    <w:rsid w:val="00E35FB8"/>
    <w:rsid w:val="00E3743C"/>
    <w:rsid w:val="00E40231"/>
    <w:rsid w:val="00E40C0F"/>
    <w:rsid w:val="00E40DD6"/>
    <w:rsid w:val="00E4199B"/>
    <w:rsid w:val="00E42AF4"/>
    <w:rsid w:val="00E473EB"/>
    <w:rsid w:val="00E5227F"/>
    <w:rsid w:val="00E5445D"/>
    <w:rsid w:val="00E574A3"/>
    <w:rsid w:val="00E579B2"/>
    <w:rsid w:val="00E631DD"/>
    <w:rsid w:val="00E644EF"/>
    <w:rsid w:val="00E663B4"/>
    <w:rsid w:val="00E6683B"/>
    <w:rsid w:val="00E669E4"/>
    <w:rsid w:val="00E66D37"/>
    <w:rsid w:val="00E67423"/>
    <w:rsid w:val="00E70ADD"/>
    <w:rsid w:val="00E70D6C"/>
    <w:rsid w:val="00E710AA"/>
    <w:rsid w:val="00E71A32"/>
    <w:rsid w:val="00E725B6"/>
    <w:rsid w:val="00E737D0"/>
    <w:rsid w:val="00E744D5"/>
    <w:rsid w:val="00E76E5A"/>
    <w:rsid w:val="00E76FEE"/>
    <w:rsid w:val="00E77194"/>
    <w:rsid w:val="00E80270"/>
    <w:rsid w:val="00E84520"/>
    <w:rsid w:val="00E85DEF"/>
    <w:rsid w:val="00E861B3"/>
    <w:rsid w:val="00E867B1"/>
    <w:rsid w:val="00E876BB"/>
    <w:rsid w:val="00E87E91"/>
    <w:rsid w:val="00E91FE7"/>
    <w:rsid w:val="00E92AC4"/>
    <w:rsid w:val="00E93C74"/>
    <w:rsid w:val="00E94084"/>
    <w:rsid w:val="00EA0548"/>
    <w:rsid w:val="00EA123F"/>
    <w:rsid w:val="00EA1FF4"/>
    <w:rsid w:val="00EA1FFC"/>
    <w:rsid w:val="00EA2EDB"/>
    <w:rsid w:val="00EA3195"/>
    <w:rsid w:val="00EA422D"/>
    <w:rsid w:val="00EA444D"/>
    <w:rsid w:val="00EA591B"/>
    <w:rsid w:val="00EB21B6"/>
    <w:rsid w:val="00EB2B11"/>
    <w:rsid w:val="00EB4840"/>
    <w:rsid w:val="00EB4DC5"/>
    <w:rsid w:val="00EB4F28"/>
    <w:rsid w:val="00EB56A4"/>
    <w:rsid w:val="00EB5D91"/>
    <w:rsid w:val="00EB7129"/>
    <w:rsid w:val="00EB7846"/>
    <w:rsid w:val="00EC5CF3"/>
    <w:rsid w:val="00EC5E8C"/>
    <w:rsid w:val="00ED5F6E"/>
    <w:rsid w:val="00ED68ED"/>
    <w:rsid w:val="00EE240E"/>
    <w:rsid w:val="00EE453F"/>
    <w:rsid w:val="00EE6659"/>
    <w:rsid w:val="00EE76B0"/>
    <w:rsid w:val="00EF08E1"/>
    <w:rsid w:val="00EF0EE1"/>
    <w:rsid w:val="00EF283A"/>
    <w:rsid w:val="00F00DD7"/>
    <w:rsid w:val="00F04893"/>
    <w:rsid w:val="00F055C4"/>
    <w:rsid w:val="00F058D7"/>
    <w:rsid w:val="00F05FC7"/>
    <w:rsid w:val="00F10A7C"/>
    <w:rsid w:val="00F1282F"/>
    <w:rsid w:val="00F129D4"/>
    <w:rsid w:val="00F12C6E"/>
    <w:rsid w:val="00F13AC3"/>
    <w:rsid w:val="00F16706"/>
    <w:rsid w:val="00F2063E"/>
    <w:rsid w:val="00F23FB7"/>
    <w:rsid w:val="00F2612B"/>
    <w:rsid w:val="00F26359"/>
    <w:rsid w:val="00F27293"/>
    <w:rsid w:val="00F30CE1"/>
    <w:rsid w:val="00F313C1"/>
    <w:rsid w:val="00F32297"/>
    <w:rsid w:val="00F328E3"/>
    <w:rsid w:val="00F3719F"/>
    <w:rsid w:val="00F37EE8"/>
    <w:rsid w:val="00F40123"/>
    <w:rsid w:val="00F41AE9"/>
    <w:rsid w:val="00F420C1"/>
    <w:rsid w:val="00F429B9"/>
    <w:rsid w:val="00F448AA"/>
    <w:rsid w:val="00F45361"/>
    <w:rsid w:val="00F453C7"/>
    <w:rsid w:val="00F472D5"/>
    <w:rsid w:val="00F47B20"/>
    <w:rsid w:val="00F47BE1"/>
    <w:rsid w:val="00F500A5"/>
    <w:rsid w:val="00F50655"/>
    <w:rsid w:val="00F52976"/>
    <w:rsid w:val="00F5366C"/>
    <w:rsid w:val="00F53AA9"/>
    <w:rsid w:val="00F54168"/>
    <w:rsid w:val="00F55B8B"/>
    <w:rsid w:val="00F55DB7"/>
    <w:rsid w:val="00F560DE"/>
    <w:rsid w:val="00F56A42"/>
    <w:rsid w:val="00F574EC"/>
    <w:rsid w:val="00F60F35"/>
    <w:rsid w:val="00F61511"/>
    <w:rsid w:val="00F626E1"/>
    <w:rsid w:val="00F62795"/>
    <w:rsid w:val="00F63D99"/>
    <w:rsid w:val="00F64B43"/>
    <w:rsid w:val="00F6589A"/>
    <w:rsid w:val="00F65A95"/>
    <w:rsid w:val="00F663BD"/>
    <w:rsid w:val="00F718F4"/>
    <w:rsid w:val="00F73191"/>
    <w:rsid w:val="00F77286"/>
    <w:rsid w:val="00F772D6"/>
    <w:rsid w:val="00F7786C"/>
    <w:rsid w:val="00F8246A"/>
    <w:rsid w:val="00F82836"/>
    <w:rsid w:val="00F8415D"/>
    <w:rsid w:val="00F874F0"/>
    <w:rsid w:val="00F87EED"/>
    <w:rsid w:val="00F90537"/>
    <w:rsid w:val="00F909EF"/>
    <w:rsid w:val="00F925A8"/>
    <w:rsid w:val="00F936B2"/>
    <w:rsid w:val="00F95642"/>
    <w:rsid w:val="00FA14B6"/>
    <w:rsid w:val="00FA26E9"/>
    <w:rsid w:val="00FA2B32"/>
    <w:rsid w:val="00FA2F81"/>
    <w:rsid w:val="00FA3321"/>
    <w:rsid w:val="00FA33C3"/>
    <w:rsid w:val="00FA374A"/>
    <w:rsid w:val="00FA4385"/>
    <w:rsid w:val="00FB0BB2"/>
    <w:rsid w:val="00FC23D8"/>
    <w:rsid w:val="00FC2458"/>
    <w:rsid w:val="00FC4494"/>
    <w:rsid w:val="00FC4948"/>
    <w:rsid w:val="00FC4FA1"/>
    <w:rsid w:val="00FC5625"/>
    <w:rsid w:val="00FC7ED7"/>
    <w:rsid w:val="00FD4DE0"/>
    <w:rsid w:val="00FD5376"/>
    <w:rsid w:val="00FD5F3B"/>
    <w:rsid w:val="00FD65FD"/>
    <w:rsid w:val="00FD6F7B"/>
    <w:rsid w:val="00FD74A0"/>
    <w:rsid w:val="00FE0B56"/>
    <w:rsid w:val="00FE27D9"/>
    <w:rsid w:val="00FE45CD"/>
    <w:rsid w:val="00FF000B"/>
    <w:rsid w:val="00FF1083"/>
    <w:rsid w:val="00FF27CB"/>
    <w:rsid w:val="00FF45E1"/>
    <w:rsid w:val="00FF4753"/>
    <w:rsid w:val="00FF50AF"/>
    <w:rsid w:val="00FF5BD7"/>
  </w:rsids>
  <m:mathPr>
    <m:mathFont m:val="Cambria Math"/>
    <m:brkBin m:val="before"/>
    <m:brkBinSub m:val="--"/>
    <m:smallFrac m:val="off"/>
    <m:dispDef m:val="off"/>
    <m:lMargin m:val="0"/>
    <m:rMargin m:val="0"/>
    <m:defJc m:val="centerGroup"/>
    <m:wrapRight/>
    <m:intLim m:val="subSup"/>
    <m:naryLim m:val="subSup"/>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footer" w:uiPriority="99"/>
    <w:lsdException w:name="caption" w:uiPriority="35"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71C6F"/>
    <w:pPr>
      <w:spacing w:after="200" w:line="276" w:lineRule="auto"/>
    </w:pPr>
    <w:rPr>
      <w:rFonts w:ascii="Sabon LT Std" w:eastAsia="Calibri" w:hAnsi="Sabon LT Std"/>
      <w:szCs w:val="22"/>
      <w:lang w:val="nb-NO"/>
    </w:rPr>
  </w:style>
  <w:style w:type="paragraph" w:styleId="Overskrift1">
    <w:name w:val="heading 1"/>
    <w:basedOn w:val="Normal"/>
    <w:next w:val="Normal"/>
    <w:link w:val="Overskrift1Tegn"/>
    <w:uiPriority w:val="99"/>
    <w:qFormat/>
    <w:rsid w:val="005659A4"/>
    <w:pPr>
      <w:keepNext/>
      <w:pageBreakBefore/>
      <w:numPr>
        <w:numId w:val="1"/>
      </w:numPr>
      <w:tabs>
        <w:tab w:val="clear" w:pos="-1342"/>
      </w:tabs>
      <w:suppressAutoHyphens/>
      <w:spacing w:after="480" w:line="240" w:lineRule="auto"/>
      <w:ind w:left="357" w:hanging="357"/>
      <w:jc w:val="center"/>
      <w:outlineLvl w:val="0"/>
    </w:pPr>
    <w:rPr>
      <w:rFonts w:eastAsia="Times New Roman" w:cs="Arial"/>
      <w:bCs/>
      <w:kern w:val="32"/>
      <w:sz w:val="56"/>
      <w:szCs w:val="32"/>
    </w:rPr>
  </w:style>
  <w:style w:type="paragraph" w:styleId="Overskrift2">
    <w:name w:val="heading 2"/>
    <w:basedOn w:val="Normal"/>
    <w:next w:val="Normal"/>
    <w:link w:val="Overskrift2Tegn"/>
    <w:uiPriority w:val="99"/>
    <w:qFormat/>
    <w:rsid w:val="00375FB4"/>
    <w:pPr>
      <w:keepNext/>
      <w:numPr>
        <w:ilvl w:val="1"/>
        <w:numId w:val="1"/>
      </w:numPr>
      <w:pBdr>
        <w:bottom w:val="single" w:sz="4" w:space="1" w:color="A4A7A6"/>
      </w:pBdr>
      <w:tabs>
        <w:tab w:val="clear" w:pos="576"/>
        <w:tab w:val="num" w:pos="-1126"/>
      </w:tabs>
      <w:spacing w:before="480"/>
      <w:ind w:left="578" w:hanging="578"/>
      <w:outlineLvl w:val="1"/>
    </w:pPr>
    <w:rPr>
      <w:rFonts w:eastAsia="Times New Roman"/>
      <w:sz w:val="32"/>
      <w:szCs w:val="20"/>
    </w:rPr>
  </w:style>
  <w:style w:type="paragraph" w:styleId="Overskrift3">
    <w:name w:val="heading 3"/>
    <w:basedOn w:val="Normal"/>
    <w:next w:val="Normal"/>
    <w:link w:val="Overskrift3Tegn"/>
    <w:qFormat/>
    <w:rsid w:val="00C819FF"/>
    <w:pPr>
      <w:keepNext/>
      <w:numPr>
        <w:ilvl w:val="2"/>
        <w:numId w:val="1"/>
      </w:numPr>
      <w:tabs>
        <w:tab w:val="num" w:pos="170"/>
        <w:tab w:val="num" w:pos="284"/>
      </w:tabs>
      <w:spacing w:before="240"/>
      <w:ind w:left="284" w:hanging="284"/>
      <w:outlineLvl w:val="2"/>
    </w:pPr>
    <w:rPr>
      <w:rFonts w:cs="Arial"/>
      <w:b/>
      <w:sz w:val="28"/>
    </w:rPr>
  </w:style>
  <w:style w:type="paragraph" w:styleId="Overskrift4">
    <w:name w:val="heading 4"/>
    <w:basedOn w:val="Overskrift3"/>
    <w:next w:val="Normal"/>
    <w:link w:val="Overskrift4Tegn"/>
    <w:qFormat/>
    <w:rsid w:val="00A23FB3"/>
    <w:pPr>
      <w:numPr>
        <w:ilvl w:val="0"/>
        <w:numId w:val="0"/>
      </w:numPr>
      <w:outlineLvl w:val="3"/>
    </w:pPr>
    <w:rPr>
      <w:b w:val="0"/>
      <w:bCs/>
      <w:sz w:val="24"/>
    </w:rPr>
  </w:style>
  <w:style w:type="paragraph" w:styleId="Overskrift5">
    <w:name w:val="heading 5"/>
    <w:basedOn w:val="Overskrift4"/>
    <w:next w:val="Normal"/>
    <w:link w:val="Overskrift5Tegn"/>
    <w:rsid w:val="00FC2458"/>
    <w:pPr>
      <w:outlineLvl w:val="4"/>
    </w:pPr>
    <w:rPr>
      <w:b/>
      <w:sz w:val="22"/>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sid w:val="005659A4"/>
    <w:rPr>
      <w:rFonts w:ascii="Sabon LT Std" w:hAnsi="Sabon LT Std" w:cs="Arial"/>
      <w:bCs/>
      <w:kern w:val="32"/>
      <w:sz w:val="56"/>
      <w:szCs w:val="32"/>
      <w:lang w:val="nb-NO"/>
    </w:rPr>
  </w:style>
  <w:style w:type="character" w:customStyle="1" w:styleId="Overskrift2Tegn">
    <w:name w:val="Overskrift 2 Tegn"/>
    <w:basedOn w:val="Standardskriftforavsnitt"/>
    <w:link w:val="Overskrift2"/>
    <w:uiPriority w:val="99"/>
    <w:locked/>
    <w:rsid w:val="00375FB4"/>
    <w:rPr>
      <w:rFonts w:ascii="Sabon LT Std" w:hAnsi="Sabon LT Std"/>
      <w:sz w:val="32"/>
      <w:lang w:val="nb-NO"/>
    </w:rPr>
  </w:style>
  <w:style w:type="character" w:customStyle="1" w:styleId="Overskrift3Tegn">
    <w:name w:val="Overskrift 3 Tegn"/>
    <w:basedOn w:val="Standardskriftforavsnitt"/>
    <w:link w:val="Overskrift3"/>
    <w:rsid w:val="00C819FF"/>
    <w:rPr>
      <w:rFonts w:ascii="Sabon LT Std" w:eastAsia="Calibri" w:hAnsi="Sabon LT Std" w:cs="Arial"/>
      <w:b/>
      <w:sz w:val="28"/>
      <w:szCs w:val="22"/>
      <w:lang w:val="nb-NO"/>
    </w:rPr>
  </w:style>
  <w:style w:type="character" w:customStyle="1" w:styleId="Overskrift4Tegn">
    <w:name w:val="Overskrift 4 Tegn"/>
    <w:basedOn w:val="Standardskriftforavsnitt"/>
    <w:link w:val="Overskrift4"/>
    <w:rsid w:val="00500C46"/>
    <w:rPr>
      <w:rFonts w:ascii="Sabon LT Std" w:eastAsia="Calibri" w:hAnsi="Sabon LT Std" w:cs="Arial"/>
      <w:bCs/>
      <w:sz w:val="24"/>
      <w:szCs w:val="22"/>
      <w:lang w:val="nb-NO"/>
    </w:rPr>
  </w:style>
  <w:style w:type="character" w:customStyle="1" w:styleId="Overskrift5Tegn">
    <w:name w:val="Overskrift 5 Tegn"/>
    <w:basedOn w:val="Standardskriftforavsnitt"/>
    <w:link w:val="Overskrift5"/>
    <w:rsid w:val="00500C46"/>
    <w:rPr>
      <w:rFonts w:ascii="Sabon LT Std" w:eastAsia="Calibri" w:hAnsi="Sabon LT Std" w:cs="Arial"/>
      <w:b/>
      <w:bCs/>
      <w:sz w:val="22"/>
      <w:lang w:val="nb-NO"/>
    </w:rPr>
  </w:style>
  <w:style w:type="table" w:styleId="Tabellrutenett">
    <w:name w:val="Table Grid"/>
    <w:basedOn w:val="Vanligtabell"/>
    <w:rsid w:val="0056324F"/>
    <w:pPr>
      <w:spacing w:line="360" w:lineRule="auto"/>
    </w:pPr>
    <w:rPr>
      <w:rFonts w:ascii="TheSansExtraLight-Plain" w:hAnsi="TheSansExtraLight-Pl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rsid w:val="00D76259"/>
    <w:pPr>
      <w:pBdr>
        <w:bottom w:val="single" w:sz="8" w:space="1" w:color="A4A7A6"/>
      </w:pBdr>
      <w:tabs>
        <w:tab w:val="center" w:pos="4536"/>
        <w:tab w:val="right" w:pos="9072"/>
      </w:tabs>
      <w:ind w:left="-851" w:right="-425"/>
      <w:jc w:val="both"/>
    </w:pPr>
    <w:rPr>
      <w:caps/>
      <w:color w:val="7F7F7F"/>
      <w:sz w:val="18"/>
      <w:szCs w:val="20"/>
    </w:rPr>
  </w:style>
  <w:style w:type="character" w:customStyle="1" w:styleId="TopptekstTegn">
    <w:name w:val="Topptekst Tegn"/>
    <w:basedOn w:val="Standardskriftforavsnitt"/>
    <w:link w:val="Topptekst"/>
    <w:rsid w:val="00500C46"/>
    <w:rPr>
      <w:rFonts w:ascii="Sabon LT Std" w:eastAsia="Calibri" w:hAnsi="Sabon LT Std"/>
      <w:caps/>
      <w:color w:val="7F7F7F"/>
      <w:sz w:val="18"/>
      <w:lang w:val="nb-NO"/>
    </w:rPr>
  </w:style>
  <w:style w:type="paragraph" w:styleId="Bunntekst">
    <w:name w:val="footer"/>
    <w:basedOn w:val="Normal"/>
    <w:link w:val="BunntekstTegn"/>
    <w:uiPriority w:val="99"/>
    <w:rsid w:val="002E0569"/>
    <w:pPr>
      <w:tabs>
        <w:tab w:val="center" w:pos="4536"/>
        <w:tab w:val="right" w:pos="9072"/>
      </w:tabs>
      <w:jc w:val="center"/>
    </w:pPr>
    <w:rPr>
      <w:color w:val="7F7F7F"/>
      <w:szCs w:val="20"/>
    </w:rPr>
  </w:style>
  <w:style w:type="character" w:customStyle="1" w:styleId="BunntekstTegn">
    <w:name w:val="Bunntekst Tegn"/>
    <w:basedOn w:val="Standardskriftforavsnitt"/>
    <w:link w:val="Bunntekst"/>
    <w:uiPriority w:val="99"/>
    <w:rsid w:val="002E0569"/>
    <w:rPr>
      <w:rFonts w:ascii="Sabon LT Std" w:eastAsia="Calibri" w:hAnsi="Sabon LT Std"/>
      <w:color w:val="7F7F7F"/>
      <w:lang w:val="nb-NO"/>
    </w:rPr>
  </w:style>
  <w:style w:type="character" w:styleId="Sidetall">
    <w:name w:val="page number"/>
    <w:basedOn w:val="Standardskriftforavsnitt"/>
    <w:rsid w:val="006A3296"/>
    <w:rPr>
      <w:rFonts w:ascii="Sabon LT Std" w:hAnsi="Sabon LT Std"/>
      <w:sz w:val="18"/>
      <w:lang w:val="nb-NO"/>
    </w:rPr>
  </w:style>
  <w:style w:type="paragraph" w:customStyle="1" w:styleId="NormalBold">
    <w:name w:val="Normal Bold"/>
    <w:basedOn w:val="Normal"/>
    <w:qFormat/>
    <w:rsid w:val="00A23FB3"/>
    <w:rPr>
      <w:b/>
    </w:rPr>
  </w:style>
  <w:style w:type="table" w:customStyle="1" w:styleId="TF-tabelllsite">
    <w:name w:val="TF-tabell lsite"/>
    <w:basedOn w:val="Vanligtabell"/>
    <w:rsid w:val="005659A4"/>
    <w:pPr>
      <w:contextualSpacing/>
    </w:pPr>
    <w:rPr>
      <w:rFonts w:ascii="TheSansExtraLight-Plain" w:hAnsi="TheSansExtraLight-Plai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NormalFORSIDE">
    <w:name w:val="Normal FORSIDE"/>
    <w:basedOn w:val="Normal"/>
    <w:qFormat/>
    <w:rsid w:val="00A23FB3"/>
    <w:pPr>
      <w:ind w:left="1276" w:hanging="1276"/>
      <w:jc w:val="center"/>
    </w:pPr>
    <w:rPr>
      <w:rFonts w:ascii="NewsGoth BT" w:hAnsi="NewsGoth BT"/>
      <w:color w:val="A6A6A6"/>
      <w:sz w:val="36"/>
    </w:rPr>
  </w:style>
  <w:style w:type="paragraph" w:customStyle="1" w:styleId="NormalFORSIDEs">
    <w:name w:val="Normal FORSIDE [s]"/>
    <w:basedOn w:val="NormalFORSIDE"/>
    <w:qFormat/>
    <w:rsid w:val="00A23FB3"/>
    <w:pPr>
      <w:spacing w:line="240" w:lineRule="auto"/>
      <w:ind w:left="-851" w:right="-425" w:firstLine="0"/>
    </w:pPr>
    <w:rPr>
      <w:rFonts w:ascii="TheSansExtraLight-Plain" w:hAnsi="TheSansExtraLight-Plain"/>
      <w:sz w:val="24"/>
    </w:rPr>
  </w:style>
  <w:style w:type="paragraph" w:customStyle="1" w:styleId="Forordbrdtekst">
    <w:name w:val="Forord brødtekst"/>
    <w:basedOn w:val="Normal"/>
    <w:rsid w:val="00FC2458"/>
    <w:pPr>
      <w:suppressAutoHyphens/>
      <w:ind w:left="-851" w:right="-425"/>
      <w:jc w:val="center"/>
    </w:pPr>
    <w:rPr>
      <w:rFonts w:ascii="TheSansExtraLight-Plain" w:hAnsi="TheSansExtraLight-Plain"/>
      <w:sz w:val="28"/>
    </w:rPr>
  </w:style>
  <w:style w:type="paragraph" w:customStyle="1" w:styleId="Ingress">
    <w:name w:val="Ingress"/>
    <w:basedOn w:val="Normal"/>
    <w:link w:val="IngressTegn"/>
    <w:qFormat/>
    <w:rsid w:val="00A23FB3"/>
    <w:pPr>
      <w:ind w:left="-851" w:right="-284"/>
      <w:jc w:val="center"/>
    </w:pPr>
    <w:rPr>
      <w:rFonts w:ascii="TheSansExtraLight-Plain" w:hAnsi="TheSansExtraLight-Plain"/>
      <w:sz w:val="24"/>
    </w:rPr>
  </w:style>
  <w:style w:type="character" w:customStyle="1" w:styleId="IngressTegn">
    <w:name w:val="Ingress Tegn"/>
    <w:basedOn w:val="Standardskriftforavsnitt"/>
    <w:link w:val="Ingress"/>
    <w:rsid w:val="00CE287F"/>
    <w:rPr>
      <w:rFonts w:ascii="TheSansExtraLight-Plain" w:eastAsia="Calibri" w:hAnsi="TheSansExtraLight-Plain"/>
      <w:sz w:val="24"/>
      <w:szCs w:val="22"/>
      <w:lang w:val="nb-NO"/>
    </w:rPr>
  </w:style>
  <w:style w:type="paragraph" w:styleId="INNH1">
    <w:name w:val="toc 1"/>
    <w:basedOn w:val="Normal"/>
    <w:next w:val="Normal"/>
    <w:autoRedefine/>
    <w:uiPriority w:val="39"/>
    <w:rsid w:val="0062233C"/>
    <w:pPr>
      <w:tabs>
        <w:tab w:val="left" w:pos="397"/>
        <w:tab w:val="right" w:leader="dot" w:pos="8505"/>
      </w:tabs>
      <w:spacing w:before="120"/>
      <w:ind w:right="-6"/>
    </w:pPr>
    <w:rPr>
      <w:b/>
    </w:rPr>
  </w:style>
  <w:style w:type="paragraph" w:styleId="INNH2">
    <w:name w:val="toc 2"/>
    <w:basedOn w:val="Normal"/>
    <w:next w:val="Normal"/>
    <w:autoRedefine/>
    <w:uiPriority w:val="39"/>
    <w:rsid w:val="0062233C"/>
    <w:pPr>
      <w:tabs>
        <w:tab w:val="left" w:pos="964"/>
        <w:tab w:val="right" w:leader="dot" w:pos="8505"/>
      </w:tabs>
      <w:ind w:left="397"/>
    </w:pPr>
    <w:rPr>
      <w:noProof/>
    </w:rPr>
  </w:style>
  <w:style w:type="paragraph" w:styleId="INNH3">
    <w:name w:val="toc 3"/>
    <w:basedOn w:val="Normal"/>
    <w:next w:val="Normal"/>
    <w:autoRedefine/>
    <w:uiPriority w:val="39"/>
    <w:rsid w:val="0062233C"/>
    <w:pPr>
      <w:tabs>
        <w:tab w:val="left" w:pos="1644"/>
        <w:tab w:val="right" w:leader="dot" w:pos="8505"/>
      </w:tabs>
      <w:ind w:left="964"/>
    </w:pPr>
    <w:rPr>
      <w:noProof/>
    </w:rPr>
  </w:style>
  <w:style w:type="paragraph" w:styleId="INNH4">
    <w:name w:val="toc 4"/>
    <w:basedOn w:val="Normal"/>
    <w:next w:val="Normal"/>
    <w:autoRedefine/>
    <w:rsid w:val="00D24A84"/>
    <w:pPr>
      <w:ind w:left="660"/>
    </w:pPr>
    <w:rPr>
      <w:rFonts w:ascii="Cambria" w:hAnsi="Cambria"/>
      <w:szCs w:val="20"/>
    </w:rPr>
  </w:style>
  <w:style w:type="paragraph" w:customStyle="1" w:styleId="Uthevettekst">
    <w:name w:val="Uthevet tekst"/>
    <w:basedOn w:val="Normal"/>
    <w:next w:val="Normal"/>
    <w:qFormat/>
    <w:rsid w:val="00A23FB3"/>
    <w:pPr>
      <w:spacing w:before="240"/>
      <w:ind w:left="-851" w:right="-425"/>
      <w:contextualSpacing/>
      <w:jc w:val="center"/>
    </w:pPr>
    <w:rPr>
      <w:i/>
      <w:color w:val="7F7F7F"/>
      <w:sz w:val="32"/>
    </w:rPr>
  </w:style>
  <w:style w:type="character" w:styleId="Hyperkobling">
    <w:name w:val="Hyperlink"/>
    <w:basedOn w:val="Standardskriftforavsnitt"/>
    <w:uiPriority w:val="99"/>
    <w:rsid w:val="00241180"/>
    <w:rPr>
      <w:color w:val="0000FF"/>
      <w:u w:val="single"/>
    </w:rPr>
  </w:style>
  <w:style w:type="paragraph" w:styleId="Sluttnotetekst">
    <w:name w:val="endnote text"/>
    <w:basedOn w:val="Normal"/>
    <w:link w:val="SluttnotetekstTegn"/>
    <w:uiPriority w:val="99"/>
    <w:rsid w:val="00A15042"/>
    <w:pPr>
      <w:spacing w:line="240" w:lineRule="auto"/>
    </w:pPr>
  </w:style>
  <w:style w:type="character" w:customStyle="1" w:styleId="SluttnotetekstTegn">
    <w:name w:val="Sluttnotetekst Tegn"/>
    <w:basedOn w:val="Standardskriftforavsnitt"/>
    <w:link w:val="Sluttnotetekst"/>
    <w:uiPriority w:val="99"/>
    <w:rsid w:val="00A15042"/>
    <w:rPr>
      <w:rFonts w:ascii="Sabon MT" w:hAnsi="Sabon MT"/>
      <w:szCs w:val="24"/>
      <w:lang w:val="nb-NO"/>
    </w:rPr>
  </w:style>
  <w:style w:type="character" w:styleId="Fulgthyperkobling">
    <w:name w:val="FollowedHyperlink"/>
    <w:basedOn w:val="Standardskriftforavsnitt"/>
    <w:uiPriority w:val="99"/>
    <w:rsid w:val="00241180"/>
    <w:rPr>
      <w:color w:val="800080"/>
      <w:u w:val="single"/>
    </w:rPr>
  </w:style>
  <w:style w:type="character" w:styleId="Fotnotereferanse">
    <w:name w:val="footnote reference"/>
    <w:basedOn w:val="Standardskriftforavsnitt"/>
    <w:rsid w:val="005979B4"/>
    <w:rPr>
      <w:rFonts w:ascii="TheSansExtraLight-Plain" w:hAnsi="TheSansExtraLight-Plain"/>
      <w:color w:val="auto"/>
      <w:sz w:val="24"/>
      <w:bdr w:val="none" w:sz="0" w:space="0" w:color="auto"/>
      <w:vertAlign w:val="superscript"/>
      <w:lang w:val="nb-NO"/>
    </w:rPr>
  </w:style>
  <w:style w:type="paragraph" w:styleId="Fotnotetekst">
    <w:name w:val="footnote text"/>
    <w:basedOn w:val="Normal"/>
    <w:link w:val="FotnotetekstTegn"/>
    <w:qFormat/>
    <w:rsid w:val="0062233C"/>
    <w:pPr>
      <w:spacing w:after="0" w:line="240" w:lineRule="auto"/>
    </w:pPr>
    <w:rPr>
      <w:sz w:val="16"/>
    </w:rPr>
  </w:style>
  <w:style w:type="character" w:customStyle="1" w:styleId="FotnotetekstTegn">
    <w:name w:val="Fotnotetekst Tegn"/>
    <w:basedOn w:val="Standardskriftforavsnitt"/>
    <w:link w:val="Fotnotetekst"/>
    <w:rsid w:val="0062233C"/>
    <w:rPr>
      <w:rFonts w:ascii="Sabon LT Std" w:eastAsia="Calibri" w:hAnsi="Sabon LT Std"/>
      <w:sz w:val="16"/>
      <w:szCs w:val="22"/>
      <w:lang w:val="nb-NO"/>
    </w:rPr>
  </w:style>
  <w:style w:type="paragraph" w:customStyle="1" w:styleId="Framsidetittel">
    <w:name w:val="Framsidetittel"/>
    <w:basedOn w:val="Normal"/>
    <w:next w:val="Normal"/>
    <w:rsid w:val="004357BF"/>
    <w:pPr>
      <w:ind w:left="-851" w:right="-425"/>
      <w:jc w:val="center"/>
    </w:pPr>
    <w:rPr>
      <w:sz w:val="72"/>
    </w:rPr>
  </w:style>
  <w:style w:type="paragraph" w:customStyle="1" w:styleId="Overskrifterinnledningskap">
    <w:name w:val="Overskrifter innledningskap"/>
    <w:basedOn w:val="Normal"/>
    <w:next w:val="Normal"/>
    <w:qFormat/>
    <w:rsid w:val="003565A8"/>
    <w:pPr>
      <w:pageBreakBefore/>
      <w:jc w:val="center"/>
    </w:pPr>
    <w:rPr>
      <w:sz w:val="56"/>
    </w:rPr>
  </w:style>
  <w:style w:type="paragraph" w:customStyle="1" w:styleId="Tabelltekst">
    <w:name w:val="Tabelltekst"/>
    <w:basedOn w:val="Normal"/>
    <w:next w:val="Normal"/>
    <w:rsid w:val="00DF183E"/>
    <w:rPr>
      <w:i/>
    </w:rPr>
  </w:style>
  <w:style w:type="paragraph" w:customStyle="1" w:styleId="Figurtekst">
    <w:name w:val="Figurtekst"/>
    <w:basedOn w:val="Normal"/>
    <w:next w:val="Normal"/>
    <w:rsid w:val="00DF183E"/>
  </w:style>
  <w:style w:type="paragraph" w:customStyle="1" w:styleId="Framsideundertittel">
    <w:name w:val="Framside undertittel"/>
    <w:basedOn w:val="Framsidetittel"/>
    <w:rsid w:val="005F2B4A"/>
    <w:rPr>
      <w:sz w:val="40"/>
    </w:rPr>
  </w:style>
  <w:style w:type="paragraph" w:customStyle="1" w:styleId="Sitat1">
    <w:name w:val="Sitat1"/>
    <w:basedOn w:val="Normal"/>
    <w:rsid w:val="0001017C"/>
    <w:pPr>
      <w:spacing w:before="180"/>
      <w:ind w:left="567" w:right="567"/>
      <w:contextualSpacing/>
    </w:pPr>
  </w:style>
  <w:style w:type="paragraph" w:customStyle="1" w:styleId="Sluttkapittel">
    <w:name w:val="Sluttkapittel"/>
    <w:basedOn w:val="Overskrift1"/>
    <w:rsid w:val="005659A4"/>
    <w:pPr>
      <w:numPr>
        <w:numId w:val="0"/>
      </w:numPr>
    </w:pPr>
  </w:style>
  <w:style w:type="paragraph" w:styleId="Bobletekst">
    <w:name w:val="Balloon Text"/>
    <w:basedOn w:val="Normal"/>
    <w:link w:val="BobletekstTegn"/>
    <w:rsid w:val="002A0D0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rsid w:val="002A0D09"/>
    <w:rPr>
      <w:rFonts w:ascii="Tahoma" w:hAnsi="Tahoma" w:cs="Tahoma"/>
      <w:sz w:val="16"/>
      <w:szCs w:val="16"/>
      <w:lang w:val="nb-NO"/>
    </w:rPr>
  </w:style>
  <w:style w:type="paragraph" w:customStyle="1" w:styleId="Tabelloverskrift">
    <w:name w:val="Tabelloverskrift"/>
    <w:basedOn w:val="Normal"/>
    <w:link w:val="TabelloverskriftTegn"/>
    <w:qFormat/>
    <w:rsid w:val="00A23FB3"/>
    <w:rPr>
      <w:rFonts w:eastAsia="Times New Roman"/>
      <w:i/>
      <w:szCs w:val="20"/>
    </w:rPr>
  </w:style>
  <w:style w:type="character" w:customStyle="1" w:styleId="TabelloverskriftTegn">
    <w:name w:val="Tabelloverskrift Tegn"/>
    <w:basedOn w:val="Standardskriftforavsnitt"/>
    <w:link w:val="Tabelloverskrift"/>
    <w:rsid w:val="00A23FB3"/>
    <w:rPr>
      <w:rFonts w:ascii="Sabon LT Std" w:hAnsi="Sabon LT Std"/>
      <w:i/>
      <w:lang w:val="nb-NO"/>
    </w:rPr>
  </w:style>
  <w:style w:type="paragraph" w:customStyle="1" w:styleId="Figurundertekst">
    <w:name w:val="Figurundertekst"/>
    <w:basedOn w:val="Normal"/>
    <w:link w:val="FigurundertekstTegn"/>
    <w:qFormat/>
    <w:rsid w:val="00A23FB3"/>
    <w:rPr>
      <w:rFonts w:eastAsia="Times New Roman"/>
      <w:szCs w:val="20"/>
    </w:rPr>
  </w:style>
  <w:style w:type="character" w:customStyle="1" w:styleId="FigurundertekstTegn">
    <w:name w:val="Figurundertekst Tegn"/>
    <w:basedOn w:val="Standardskriftforavsnitt"/>
    <w:link w:val="Figurundertekst"/>
    <w:rsid w:val="00A23FB3"/>
    <w:rPr>
      <w:rFonts w:ascii="Sabon LT Std" w:hAnsi="Sabon LT Std"/>
      <w:lang w:val="nb-NO"/>
    </w:rPr>
  </w:style>
  <w:style w:type="paragraph" w:styleId="Bildetekst">
    <w:name w:val="caption"/>
    <w:basedOn w:val="Normal"/>
    <w:next w:val="Normal"/>
    <w:uiPriority w:val="35"/>
    <w:qFormat/>
    <w:rsid w:val="00764116"/>
    <w:pPr>
      <w:spacing w:before="240" w:after="240" w:line="240" w:lineRule="auto"/>
    </w:pPr>
    <w:rPr>
      <w:bCs/>
      <w:sz w:val="18"/>
      <w:szCs w:val="18"/>
    </w:rPr>
  </w:style>
  <w:style w:type="paragraph" w:styleId="Overskriftforinnholdsfortegnelse">
    <w:name w:val="TOC Heading"/>
    <w:basedOn w:val="Overskrift1"/>
    <w:next w:val="Normal"/>
    <w:uiPriority w:val="39"/>
    <w:qFormat/>
    <w:rsid w:val="00A23FB3"/>
    <w:pPr>
      <w:keepLines/>
      <w:pageBreakBefore w:val="0"/>
      <w:numPr>
        <w:numId w:val="0"/>
      </w:numPr>
      <w:suppressAutoHyphens w:val="0"/>
      <w:spacing w:after="240" w:line="276" w:lineRule="auto"/>
      <w:outlineLvl w:val="9"/>
    </w:pPr>
    <w:rPr>
      <w:rFonts w:eastAsia="Calibri" w:cs="Times New Roman"/>
      <w:kern w:val="0"/>
      <w:szCs w:val="28"/>
    </w:rPr>
  </w:style>
  <w:style w:type="paragraph" w:styleId="Listeavsnitt">
    <w:name w:val="List Paragraph"/>
    <w:basedOn w:val="Normal"/>
    <w:uiPriority w:val="34"/>
    <w:qFormat/>
    <w:rsid w:val="002E0569"/>
    <w:pPr>
      <w:numPr>
        <w:numId w:val="2"/>
      </w:numPr>
      <w:ind w:left="357" w:hanging="357"/>
      <w:contextualSpacing/>
    </w:pPr>
  </w:style>
  <w:style w:type="table" w:customStyle="1" w:styleId="TF1">
    <w:name w:val="TF 1"/>
    <w:basedOn w:val="Enkelttabell3"/>
    <w:uiPriority w:val="99"/>
    <w:qFormat/>
    <w:rsid w:val="005659A4"/>
    <w:pPr>
      <w:spacing w:after="240" w:line="360" w:lineRule="auto"/>
      <w:contextualSpacing/>
    </w:pPr>
    <w:rPr>
      <w:rFonts w:asciiTheme="majorHAnsi" w:hAnsiTheme="majorHAnsi"/>
      <w:color w:val="000000" w:themeColor="text1"/>
      <w:lang w:val="nb-NO" w:eastAsia="nb-NO"/>
    </w:rPr>
    <w:tblPr>
      <w:tblStyleRowBandSize w:val="1"/>
      <w:tblInd w:w="0" w:type="dxa"/>
      <w:tblBorders>
        <w:top w:val="single" w:sz="4" w:space="0" w:color="B1C88A"/>
        <w:left w:val="single" w:sz="4" w:space="0" w:color="B1C88A"/>
        <w:bottom w:val="single" w:sz="4" w:space="0" w:color="B1C88A"/>
        <w:right w:val="single" w:sz="4" w:space="0" w:color="B1C88A"/>
        <w:insideH w:val="single" w:sz="4" w:space="0" w:color="B1C88A"/>
        <w:insideV w:val="single" w:sz="4" w:space="0" w:color="B1C88A"/>
      </w:tblBorders>
      <w:tblCellMar>
        <w:top w:w="0" w:type="dxa"/>
        <w:left w:w="108" w:type="dxa"/>
        <w:bottom w:w="0" w:type="dxa"/>
        <w:right w:w="108" w:type="dxa"/>
      </w:tblCellMar>
    </w:tblPr>
    <w:tcPr>
      <w:shd w:val="clear" w:color="auto" w:fill="auto"/>
    </w:tcPr>
    <w:tblStylePr w:type="firstRow">
      <w:rPr>
        <w:rFonts w:asciiTheme="majorHAnsi" w:hAnsiTheme="majorHAnsi"/>
        <w:b/>
        <w:bCs/>
        <w:color w:val="000000" w:themeColor="text1"/>
        <w:sz w:val="20"/>
      </w:rPr>
      <w:tblPr/>
      <w:tcPr>
        <w:tcBorders>
          <w:insideV w:val="single" w:sz="4" w:space="0" w:color="FFFFFF" w:themeColor="background1"/>
          <w:tl2br w:val="none" w:sz="0" w:space="0" w:color="auto"/>
          <w:tr2bl w:val="none" w:sz="0" w:space="0" w:color="auto"/>
        </w:tcBorders>
        <w:shd w:val="clear" w:color="auto" w:fill="B1C88A"/>
      </w:tcPr>
    </w:tblStylePr>
    <w:tblStylePr w:type="lastRow">
      <w:tblPr/>
      <w:tcPr>
        <w:tcBorders>
          <w:top w:val="nil"/>
        </w:tcBorders>
        <w:shd w:val="clear" w:color="auto" w:fill="auto"/>
      </w:tcPr>
    </w:tblStylePr>
  </w:style>
  <w:style w:type="table" w:styleId="Enkelttabell3">
    <w:name w:val="Table Simple 3"/>
    <w:basedOn w:val="Vanligtabell"/>
    <w:rsid w:val="000C1288"/>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Plassholdertekst">
    <w:name w:val="Placeholder Text"/>
    <w:basedOn w:val="Standardskriftforavsnitt"/>
    <w:uiPriority w:val="99"/>
    <w:semiHidden/>
    <w:rsid w:val="005541EE"/>
    <w:rPr>
      <w:color w:val="808080"/>
    </w:rPr>
  </w:style>
  <w:style w:type="paragraph" w:customStyle="1" w:styleId="Overskriftunummerert1">
    <w:name w:val="Overskrift unummerert 1"/>
    <w:basedOn w:val="Overskrift1"/>
    <w:link w:val="Overskriftunummerert1Tegn"/>
    <w:qFormat/>
    <w:rsid w:val="00375FB4"/>
    <w:pPr>
      <w:numPr>
        <w:numId w:val="0"/>
      </w:numPr>
      <w:ind w:left="-1702"/>
    </w:pPr>
  </w:style>
  <w:style w:type="character" w:customStyle="1" w:styleId="Overskriftunummerert1Tegn">
    <w:name w:val="Overskrift unummerert 1 Tegn"/>
    <w:basedOn w:val="Overskrift1Tegn"/>
    <w:link w:val="Overskriftunummerert1"/>
    <w:rsid w:val="00375FB4"/>
    <w:rPr>
      <w:rFonts w:ascii="Sabon LT Std" w:hAnsi="Sabon LT Std" w:cs="Arial"/>
      <w:bCs/>
      <w:kern w:val="32"/>
      <w:sz w:val="56"/>
      <w:szCs w:val="32"/>
      <w:lang w:val="nb-NO"/>
    </w:rPr>
  </w:style>
  <w:style w:type="paragraph" w:customStyle="1" w:styleId="Overskriftunummerert2">
    <w:name w:val="Overskrift unummerert 2"/>
    <w:basedOn w:val="Overskrift2"/>
    <w:link w:val="Overskriftunummerert2Tegn"/>
    <w:qFormat/>
    <w:rsid w:val="00375FB4"/>
    <w:pPr>
      <w:numPr>
        <w:ilvl w:val="0"/>
        <w:numId w:val="0"/>
      </w:numPr>
    </w:pPr>
  </w:style>
  <w:style w:type="character" w:customStyle="1" w:styleId="Overskriftunummerert2Tegn">
    <w:name w:val="Overskrift unummerert 2 Tegn"/>
    <w:basedOn w:val="Overskrift2Tegn"/>
    <w:link w:val="Overskriftunummerert2"/>
    <w:rsid w:val="00375FB4"/>
    <w:rPr>
      <w:rFonts w:ascii="Sabon LT Std" w:hAnsi="Sabon LT Std"/>
      <w:sz w:val="32"/>
      <w:lang w:val="nb-NO"/>
    </w:rPr>
  </w:style>
  <w:style w:type="paragraph" w:customStyle="1" w:styleId="Overskriftunummerert3">
    <w:name w:val="Overskrift unummerert 3"/>
    <w:basedOn w:val="Overskrift3"/>
    <w:link w:val="Overskriftunummerert3Tegn"/>
    <w:qFormat/>
    <w:rsid w:val="00375FB4"/>
    <w:pPr>
      <w:numPr>
        <w:ilvl w:val="0"/>
        <w:numId w:val="0"/>
      </w:numPr>
    </w:pPr>
  </w:style>
  <w:style w:type="character" w:customStyle="1" w:styleId="Overskriftunummerert3Tegn">
    <w:name w:val="Overskrift unummerert 3 Tegn"/>
    <w:basedOn w:val="Overskrift3Tegn"/>
    <w:link w:val="Overskriftunummerert3"/>
    <w:rsid w:val="00375FB4"/>
    <w:rPr>
      <w:rFonts w:ascii="Sabon LT Std" w:eastAsia="Calibri" w:hAnsi="Sabon LT Std" w:cs="Arial"/>
      <w:b/>
      <w:sz w:val="28"/>
      <w:szCs w:val="22"/>
      <w:lang w:val="nb-NO"/>
    </w:rPr>
  </w:style>
  <w:style w:type="paragraph" w:styleId="Sitat">
    <w:name w:val="Quote"/>
    <w:basedOn w:val="Normal"/>
    <w:next w:val="Normal"/>
    <w:link w:val="SitatTegn"/>
    <w:qFormat/>
    <w:rsid w:val="00832E5C"/>
    <w:pPr>
      <w:spacing w:before="180" w:after="240"/>
      <w:ind w:left="567" w:right="567"/>
      <w:contextualSpacing/>
    </w:pPr>
    <w:rPr>
      <w:rFonts w:eastAsia="Times New Roman"/>
      <w:sz w:val="18"/>
      <w:szCs w:val="24"/>
    </w:rPr>
  </w:style>
  <w:style w:type="character" w:customStyle="1" w:styleId="SitatTegn">
    <w:name w:val="Sitat Tegn"/>
    <w:basedOn w:val="Standardskriftforavsnitt"/>
    <w:link w:val="Sitat"/>
    <w:rsid w:val="00832E5C"/>
    <w:rPr>
      <w:rFonts w:ascii="Sabon LT Std" w:hAnsi="Sabon LT Std"/>
      <w:sz w:val="18"/>
      <w:szCs w:val="24"/>
      <w:lang w:val="nb-NO"/>
    </w:rPr>
  </w:style>
  <w:style w:type="character" w:styleId="Merknadsreferanse">
    <w:name w:val="annotation reference"/>
    <w:basedOn w:val="Standardskriftforavsnitt"/>
    <w:rsid w:val="00DE7085"/>
    <w:rPr>
      <w:sz w:val="16"/>
      <w:szCs w:val="16"/>
    </w:rPr>
  </w:style>
  <w:style w:type="paragraph" w:styleId="Merknadstekst">
    <w:name w:val="annotation text"/>
    <w:basedOn w:val="Normal"/>
    <w:link w:val="MerknadstekstTegn"/>
    <w:rsid w:val="00DE7085"/>
    <w:pPr>
      <w:spacing w:after="120" w:line="240" w:lineRule="auto"/>
    </w:pPr>
    <w:rPr>
      <w:rFonts w:eastAsia="Times New Roman"/>
      <w:szCs w:val="20"/>
    </w:rPr>
  </w:style>
  <w:style w:type="character" w:customStyle="1" w:styleId="MerknadstekstTegn">
    <w:name w:val="Merknadstekst Tegn"/>
    <w:basedOn w:val="Standardskriftforavsnitt"/>
    <w:link w:val="Merknadstekst"/>
    <w:rsid w:val="00DE7085"/>
    <w:rPr>
      <w:rFonts w:ascii="Sabon LT Std" w:hAnsi="Sabon LT Std"/>
      <w:lang w:val="nb-NO"/>
    </w:rPr>
  </w:style>
  <w:style w:type="character" w:styleId="Utheving">
    <w:name w:val="Emphasis"/>
    <w:basedOn w:val="Standardskriftforavsnitt"/>
    <w:uiPriority w:val="20"/>
    <w:qFormat/>
    <w:rsid w:val="00DE7085"/>
    <w:rPr>
      <w:i/>
      <w:iCs/>
    </w:rPr>
  </w:style>
  <w:style w:type="character" w:styleId="Sluttnotereferanse">
    <w:name w:val="endnote reference"/>
    <w:basedOn w:val="Standardskriftforavsnitt"/>
    <w:uiPriority w:val="99"/>
    <w:unhideWhenUsed/>
    <w:rsid w:val="00F00DD7"/>
    <w:rPr>
      <w:vertAlign w:val="superscript"/>
    </w:rPr>
  </w:style>
  <w:style w:type="paragraph" w:styleId="Kommentaremne">
    <w:name w:val="annotation subject"/>
    <w:basedOn w:val="Merknadstekst"/>
    <w:next w:val="Merknadstekst"/>
    <w:link w:val="KommentaremneTegn"/>
    <w:unhideWhenUsed/>
    <w:rsid w:val="00FC4FA1"/>
    <w:pPr>
      <w:spacing w:after="200"/>
    </w:pPr>
    <w:rPr>
      <w:rFonts w:eastAsia="Calibri"/>
      <w:b/>
      <w:bCs/>
    </w:rPr>
  </w:style>
  <w:style w:type="character" w:customStyle="1" w:styleId="KommentaremneTegn">
    <w:name w:val="Kommentaremne Tegn"/>
    <w:basedOn w:val="MerknadstekstTegn"/>
    <w:link w:val="Kommentaremne"/>
    <w:rsid w:val="00FC4FA1"/>
    <w:rPr>
      <w:rFonts w:ascii="Sabon LT Std" w:eastAsia="Calibri" w:hAnsi="Sabon LT Std"/>
      <w:b/>
      <w:bCs/>
      <w:lang w:val="nb-NO"/>
    </w:rPr>
  </w:style>
  <w:style w:type="paragraph" w:styleId="NormalWeb">
    <w:name w:val="Normal (Web)"/>
    <w:basedOn w:val="Normal"/>
    <w:uiPriority w:val="99"/>
    <w:unhideWhenUsed/>
    <w:rsid w:val="00500C46"/>
    <w:pPr>
      <w:spacing w:before="100" w:beforeAutospacing="1" w:after="100" w:afterAutospacing="1" w:line="240" w:lineRule="auto"/>
    </w:pPr>
    <w:rPr>
      <w:rFonts w:ascii="Times New Roman" w:eastAsiaTheme="minorEastAsia" w:hAnsi="Times New Roman"/>
      <w:sz w:val="24"/>
      <w:szCs w:val="24"/>
      <w:lang w:eastAsia="nb-NO"/>
    </w:rPr>
  </w:style>
  <w:style w:type="paragraph" w:styleId="Undertittel">
    <w:name w:val="Subtitle"/>
    <w:basedOn w:val="Normal"/>
    <w:next w:val="Normal"/>
    <w:link w:val="UndertittelTegn"/>
    <w:uiPriority w:val="11"/>
    <w:qFormat/>
    <w:rsid w:val="00500C46"/>
    <w:pPr>
      <w:numPr>
        <w:ilvl w:val="1"/>
      </w:numPr>
      <w:spacing w:after="120" w:line="240" w:lineRule="auto"/>
    </w:pPr>
    <w:rPr>
      <w:rFonts w:ascii="TheSansExtraLight-Plain" w:eastAsiaTheme="majorEastAsia" w:hAnsi="TheSansExtraLight-Plain" w:cstheme="majorBidi"/>
      <w:iCs/>
      <w:color w:val="000000" w:themeColor="text1"/>
      <w:spacing w:val="15"/>
      <w:sz w:val="24"/>
      <w:szCs w:val="24"/>
    </w:rPr>
  </w:style>
  <w:style w:type="character" w:customStyle="1" w:styleId="UndertittelTegn">
    <w:name w:val="Undertittel Tegn"/>
    <w:basedOn w:val="Standardskriftforavsnitt"/>
    <w:link w:val="Undertittel"/>
    <w:uiPriority w:val="11"/>
    <w:rsid w:val="00500C46"/>
    <w:rPr>
      <w:rFonts w:ascii="TheSansExtraLight-Plain" w:eastAsiaTheme="majorEastAsia" w:hAnsi="TheSansExtraLight-Plain" w:cstheme="majorBidi"/>
      <w:iCs/>
      <w:color w:val="000000" w:themeColor="text1"/>
      <w:spacing w:val="15"/>
      <w:sz w:val="24"/>
      <w:szCs w:val="24"/>
      <w:lang w:val="nb-NO"/>
    </w:rPr>
  </w:style>
</w:styles>
</file>

<file path=word/webSettings.xml><?xml version="1.0" encoding="utf-8"?>
<w:webSettings xmlns:r="http://schemas.openxmlformats.org/officeDocument/2006/relationships" xmlns:w="http://schemas.openxmlformats.org/wordprocessingml/2006/main">
  <w:divs>
    <w:div w:id="98985597">
      <w:bodyDiv w:val="1"/>
      <w:marLeft w:val="0"/>
      <w:marRight w:val="0"/>
      <w:marTop w:val="0"/>
      <w:marBottom w:val="0"/>
      <w:divBdr>
        <w:top w:val="none" w:sz="0" w:space="0" w:color="auto"/>
        <w:left w:val="none" w:sz="0" w:space="0" w:color="auto"/>
        <w:bottom w:val="none" w:sz="0" w:space="0" w:color="auto"/>
        <w:right w:val="none" w:sz="0" w:space="0" w:color="auto"/>
      </w:divBdr>
    </w:div>
    <w:div w:id="118190390">
      <w:bodyDiv w:val="1"/>
      <w:marLeft w:val="0"/>
      <w:marRight w:val="0"/>
      <w:marTop w:val="0"/>
      <w:marBottom w:val="0"/>
      <w:divBdr>
        <w:top w:val="none" w:sz="0" w:space="0" w:color="auto"/>
        <w:left w:val="none" w:sz="0" w:space="0" w:color="auto"/>
        <w:bottom w:val="none" w:sz="0" w:space="0" w:color="auto"/>
        <w:right w:val="none" w:sz="0" w:space="0" w:color="auto"/>
      </w:divBdr>
    </w:div>
    <w:div w:id="153689843">
      <w:bodyDiv w:val="1"/>
      <w:marLeft w:val="0"/>
      <w:marRight w:val="0"/>
      <w:marTop w:val="0"/>
      <w:marBottom w:val="0"/>
      <w:divBdr>
        <w:top w:val="none" w:sz="0" w:space="0" w:color="auto"/>
        <w:left w:val="none" w:sz="0" w:space="0" w:color="auto"/>
        <w:bottom w:val="none" w:sz="0" w:space="0" w:color="auto"/>
        <w:right w:val="none" w:sz="0" w:space="0" w:color="auto"/>
      </w:divBdr>
    </w:div>
    <w:div w:id="237635280">
      <w:bodyDiv w:val="1"/>
      <w:marLeft w:val="0"/>
      <w:marRight w:val="0"/>
      <w:marTop w:val="0"/>
      <w:marBottom w:val="0"/>
      <w:divBdr>
        <w:top w:val="none" w:sz="0" w:space="0" w:color="auto"/>
        <w:left w:val="none" w:sz="0" w:space="0" w:color="auto"/>
        <w:bottom w:val="none" w:sz="0" w:space="0" w:color="auto"/>
        <w:right w:val="none" w:sz="0" w:space="0" w:color="auto"/>
      </w:divBdr>
    </w:div>
    <w:div w:id="289095301">
      <w:bodyDiv w:val="1"/>
      <w:marLeft w:val="0"/>
      <w:marRight w:val="0"/>
      <w:marTop w:val="0"/>
      <w:marBottom w:val="0"/>
      <w:divBdr>
        <w:top w:val="none" w:sz="0" w:space="0" w:color="auto"/>
        <w:left w:val="none" w:sz="0" w:space="0" w:color="auto"/>
        <w:bottom w:val="none" w:sz="0" w:space="0" w:color="auto"/>
        <w:right w:val="none" w:sz="0" w:space="0" w:color="auto"/>
      </w:divBdr>
    </w:div>
    <w:div w:id="291448835">
      <w:bodyDiv w:val="1"/>
      <w:marLeft w:val="0"/>
      <w:marRight w:val="0"/>
      <w:marTop w:val="0"/>
      <w:marBottom w:val="0"/>
      <w:divBdr>
        <w:top w:val="none" w:sz="0" w:space="0" w:color="auto"/>
        <w:left w:val="none" w:sz="0" w:space="0" w:color="auto"/>
        <w:bottom w:val="none" w:sz="0" w:space="0" w:color="auto"/>
        <w:right w:val="none" w:sz="0" w:space="0" w:color="auto"/>
      </w:divBdr>
    </w:div>
    <w:div w:id="312565277">
      <w:bodyDiv w:val="1"/>
      <w:marLeft w:val="0"/>
      <w:marRight w:val="0"/>
      <w:marTop w:val="0"/>
      <w:marBottom w:val="0"/>
      <w:divBdr>
        <w:top w:val="none" w:sz="0" w:space="0" w:color="auto"/>
        <w:left w:val="none" w:sz="0" w:space="0" w:color="auto"/>
        <w:bottom w:val="none" w:sz="0" w:space="0" w:color="auto"/>
        <w:right w:val="none" w:sz="0" w:space="0" w:color="auto"/>
      </w:divBdr>
    </w:div>
    <w:div w:id="395445021">
      <w:bodyDiv w:val="1"/>
      <w:marLeft w:val="0"/>
      <w:marRight w:val="0"/>
      <w:marTop w:val="0"/>
      <w:marBottom w:val="0"/>
      <w:divBdr>
        <w:top w:val="none" w:sz="0" w:space="0" w:color="auto"/>
        <w:left w:val="none" w:sz="0" w:space="0" w:color="auto"/>
        <w:bottom w:val="none" w:sz="0" w:space="0" w:color="auto"/>
        <w:right w:val="none" w:sz="0" w:space="0" w:color="auto"/>
      </w:divBdr>
    </w:div>
    <w:div w:id="499318854">
      <w:bodyDiv w:val="1"/>
      <w:marLeft w:val="0"/>
      <w:marRight w:val="0"/>
      <w:marTop w:val="0"/>
      <w:marBottom w:val="0"/>
      <w:divBdr>
        <w:top w:val="none" w:sz="0" w:space="0" w:color="auto"/>
        <w:left w:val="none" w:sz="0" w:space="0" w:color="auto"/>
        <w:bottom w:val="none" w:sz="0" w:space="0" w:color="auto"/>
        <w:right w:val="none" w:sz="0" w:space="0" w:color="auto"/>
      </w:divBdr>
    </w:div>
    <w:div w:id="539171859">
      <w:bodyDiv w:val="1"/>
      <w:marLeft w:val="0"/>
      <w:marRight w:val="0"/>
      <w:marTop w:val="0"/>
      <w:marBottom w:val="0"/>
      <w:divBdr>
        <w:top w:val="none" w:sz="0" w:space="0" w:color="auto"/>
        <w:left w:val="none" w:sz="0" w:space="0" w:color="auto"/>
        <w:bottom w:val="none" w:sz="0" w:space="0" w:color="auto"/>
        <w:right w:val="none" w:sz="0" w:space="0" w:color="auto"/>
      </w:divBdr>
    </w:div>
    <w:div w:id="558438755">
      <w:bodyDiv w:val="1"/>
      <w:marLeft w:val="0"/>
      <w:marRight w:val="0"/>
      <w:marTop w:val="0"/>
      <w:marBottom w:val="0"/>
      <w:divBdr>
        <w:top w:val="none" w:sz="0" w:space="0" w:color="auto"/>
        <w:left w:val="none" w:sz="0" w:space="0" w:color="auto"/>
        <w:bottom w:val="none" w:sz="0" w:space="0" w:color="auto"/>
        <w:right w:val="none" w:sz="0" w:space="0" w:color="auto"/>
      </w:divBdr>
    </w:div>
    <w:div w:id="568004489">
      <w:bodyDiv w:val="1"/>
      <w:marLeft w:val="0"/>
      <w:marRight w:val="0"/>
      <w:marTop w:val="0"/>
      <w:marBottom w:val="0"/>
      <w:divBdr>
        <w:top w:val="none" w:sz="0" w:space="0" w:color="auto"/>
        <w:left w:val="none" w:sz="0" w:space="0" w:color="auto"/>
        <w:bottom w:val="none" w:sz="0" w:space="0" w:color="auto"/>
        <w:right w:val="none" w:sz="0" w:space="0" w:color="auto"/>
      </w:divBdr>
    </w:div>
    <w:div w:id="580793555">
      <w:bodyDiv w:val="1"/>
      <w:marLeft w:val="0"/>
      <w:marRight w:val="0"/>
      <w:marTop w:val="0"/>
      <w:marBottom w:val="0"/>
      <w:divBdr>
        <w:top w:val="none" w:sz="0" w:space="0" w:color="auto"/>
        <w:left w:val="none" w:sz="0" w:space="0" w:color="auto"/>
        <w:bottom w:val="none" w:sz="0" w:space="0" w:color="auto"/>
        <w:right w:val="none" w:sz="0" w:space="0" w:color="auto"/>
      </w:divBdr>
    </w:div>
    <w:div w:id="591471582">
      <w:bodyDiv w:val="1"/>
      <w:marLeft w:val="0"/>
      <w:marRight w:val="0"/>
      <w:marTop w:val="0"/>
      <w:marBottom w:val="0"/>
      <w:divBdr>
        <w:top w:val="none" w:sz="0" w:space="0" w:color="auto"/>
        <w:left w:val="none" w:sz="0" w:space="0" w:color="auto"/>
        <w:bottom w:val="none" w:sz="0" w:space="0" w:color="auto"/>
        <w:right w:val="none" w:sz="0" w:space="0" w:color="auto"/>
      </w:divBdr>
    </w:div>
    <w:div w:id="634146058">
      <w:bodyDiv w:val="1"/>
      <w:marLeft w:val="0"/>
      <w:marRight w:val="0"/>
      <w:marTop w:val="0"/>
      <w:marBottom w:val="0"/>
      <w:divBdr>
        <w:top w:val="none" w:sz="0" w:space="0" w:color="auto"/>
        <w:left w:val="none" w:sz="0" w:space="0" w:color="auto"/>
        <w:bottom w:val="none" w:sz="0" w:space="0" w:color="auto"/>
        <w:right w:val="none" w:sz="0" w:space="0" w:color="auto"/>
      </w:divBdr>
    </w:div>
    <w:div w:id="662589360">
      <w:bodyDiv w:val="1"/>
      <w:marLeft w:val="0"/>
      <w:marRight w:val="0"/>
      <w:marTop w:val="0"/>
      <w:marBottom w:val="0"/>
      <w:divBdr>
        <w:top w:val="none" w:sz="0" w:space="0" w:color="auto"/>
        <w:left w:val="none" w:sz="0" w:space="0" w:color="auto"/>
        <w:bottom w:val="none" w:sz="0" w:space="0" w:color="auto"/>
        <w:right w:val="none" w:sz="0" w:space="0" w:color="auto"/>
      </w:divBdr>
    </w:div>
    <w:div w:id="696391489">
      <w:bodyDiv w:val="1"/>
      <w:marLeft w:val="0"/>
      <w:marRight w:val="0"/>
      <w:marTop w:val="0"/>
      <w:marBottom w:val="0"/>
      <w:divBdr>
        <w:top w:val="none" w:sz="0" w:space="0" w:color="auto"/>
        <w:left w:val="none" w:sz="0" w:space="0" w:color="auto"/>
        <w:bottom w:val="none" w:sz="0" w:space="0" w:color="auto"/>
        <w:right w:val="none" w:sz="0" w:space="0" w:color="auto"/>
      </w:divBdr>
    </w:div>
    <w:div w:id="767041761">
      <w:bodyDiv w:val="1"/>
      <w:marLeft w:val="0"/>
      <w:marRight w:val="0"/>
      <w:marTop w:val="0"/>
      <w:marBottom w:val="0"/>
      <w:divBdr>
        <w:top w:val="none" w:sz="0" w:space="0" w:color="auto"/>
        <w:left w:val="none" w:sz="0" w:space="0" w:color="auto"/>
        <w:bottom w:val="none" w:sz="0" w:space="0" w:color="auto"/>
        <w:right w:val="none" w:sz="0" w:space="0" w:color="auto"/>
      </w:divBdr>
    </w:div>
    <w:div w:id="864754469">
      <w:bodyDiv w:val="1"/>
      <w:marLeft w:val="0"/>
      <w:marRight w:val="0"/>
      <w:marTop w:val="0"/>
      <w:marBottom w:val="0"/>
      <w:divBdr>
        <w:top w:val="none" w:sz="0" w:space="0" w:color="auto"/>
        <w:left w:val="none" w:sz="0" w:space="0" w:color="auto"/>
        <w:bottom w:val="none" w:sz="0" w:space="0" w:color="auto"/>
        <w:right w:val="none" w:sz="0" w:space="0" w:color="auto"/>
      </w:divBdr>
    </w:div>
    <w:div w:id="909775749">
      <w:bodyDiv w:val="1"/>
      <w:marLeft w:val="0"/>
      <w:marRight w:val="0"/>
      <w:marTop w:val="0"/>
      <w:marBottom w:val="0"/>
      <w:divBdr>
        <w:top w:val="none" w:sz="0" w:space="0" w:color="auto"/>
        <w:left w:val="none" w:sz="0" w:space="0" w:color="auto"/>
        <w:bottom w:val="none" w:sz="0" w:space="0" w:color="auto"/>
        <w:right w:val="none" w:sz="0" w:space="0" w:color="auto"/>
      </w:divBdr>
    </w:div>
    <w:div w:id="936712852">
      <w:bodyDiv w:val="1"/>
      <w:marLeft w:val="0"/>
      <w:marRight w:val="0"/>
      <w:marTop w:val="0"/>
      <w:marBottom w:val="0"/>
      <w:divBdr>
        <w:top w:val="none" w:sz="0" w:space="0" w:color="auto"/>
        <w:left w:val="none" w:sz="0" w:space="0" w:color="auto"/>
        <w:bottom w:val="none" w:sz="0" w:space="0" w:color="auto"/>
        <w:right w:val="none" w:sz="0" w:space="0" w:color="auto"/>
      </w:divBdr>
    </w:div>
    <w:div w:id="1066420955">
      <w:bodyDiv w:val="1"/>
      <w:marLeft w:val="0"/>
      <w:marRight w:val="0"/>
      <w:marTop w:val="0"/>
      <w:marBottom w:val="0"/>
      <w:divBdr>
        <w:top w:val="none" w:sz="0" w:space="0" w:color="auto"/>
        <w:left w:val="none" w:sz="0" w:space="0" w:color="auto"/>
        <w:bottom w:val="none" w:sz="0" w:space="0" w:color="auto"/>
        <w:right w:val="none" w:sz="0" w:space="0" w:color="auto"/>
      </w:divBdr>
    </w:div>
    <w:div w:id="1109004631">
      <w:bodyDiv w:val="1"/>
      <w:marLeft w:val="0"/>
      <w:marRight w:val="0"/>
      <w:marTop w:val="0"/>
      <w:marBottom w:val="0"/>
      <w:divBdr>
        <w:top w:val="none" w:sz="0" w:space="0" w:color="auto"/>
        <w:left w:val="none" w:sz="0" w:space="0" w:color="auto"/>
        <w:bottom w:val="none" w:sz="0" w:space="0" w:color="auto"/>
        <w:right w:val="none" w:sz="0" w:space="0" w:color="auto"/>
      </w:divBdr>
    </w:div>
    <w:div w:id="1139804189">
      <w:bodyDiv w:val="1"/>
      <w:marLeft w:val="0"/>
      <w:marRight w:val="0"/>
      <w:marTop w:val="0"/>
      <w:marBottom w:val="0"/>
      <w:divBdr>
        <w:top w:val="none" w:sz="0" w:space="0" w:color="auto"/>
        <w:left w:val="none" w:sz="0" w:space="0" w:color="auto"/>
        <w:bottom w:val="none" w:sz="0" w:space="0" w:color="auto"/>
        <w:right w:val="none" w:sz="0" w:space="0" w:color="auto"/>
      </w:divBdr>
    </w:div>
    <w:div w:id="1154642331">
      <w:bodyDiv w:val="1"/>
      <w:marLeft w:val="0"/>
      <w:marRight w:val="0"/>
      <w:marTop w:val="0"/>
      <w:marBottom w:val="0"/>
      <w:divBdr>
        <w:top w:val="none" w:sz="0" w:space="0" w:color="auto"/>
        <w:left w:val="none" w:sz="0" w:space="0" w:color="auto"/>
        <w:bottom w:val="none" w:sz="0" w:space="0" w:color="auto"/>
        <w:right w:val="none" w:sz="0" w:space="0" w:color="auto"/>
      </w:divBdr>
    </w:div>
    <w:div w:id="1192260044">
      <w:bodyDiv w:val="1"/>
      <w:marLeft w:val="0"/>
      <w:marRight w:val="0"/>
      <w:marTop w:val="0"/>
      <w:marBottom w:val="0"/>
      <w:divBdr>
        <w:top w:val="none" w:sz="0" w:space="0" w:color="auto"/>
        <w:left w:val="none" w:sz="0" w:space="0" w:color="auto"/>
        <w:bottom w:val="none" w:sz="0" w:space="0" w:color="auto"/>
        <w:right w:val="none" w:sz="0" w:space="0" w:color="auto"/>
      </w:divBdr>
    </w:div>
    <w:div w:id="1289169476">
      <w:bodyDiv w:val="1"/>
      <w:marLeft w:val="0"/>
      <w:marRight w:val="0"/>
      <w:marTop w:val="0"/>
      <w:marBottom w:val="0"/>
      <w:divBdr>
        <w:top w:val="none" w:sz="0" w:space="0" w:color="auto"/>
        <w:left w:val="none" w:sz="0" w:space="0" w:color="auto"/>
        <w:bottom w:val="none" w:sz="0" w:space="0" w:color="auto"/>
        <w:right w:val="none" w:sz="0" w:space="0" w:color="auto"/>
      </w:divBdr>
    </w:div>
    <w:div w:id="1460563744">
      <w:bodyDiv w:val="1"/>
      <w:marLeft w:val="0"/>
      <w:marRight w:val="0"/>
      <w:marTop w:val="0"/>
      <w:marBottom w:val="0"/>
      <w:divBdr>
        <w:top w:val="none" w:sz="0" w:space="0" w:color="auto"/>
        <w:left w:val="none" w:sz="0" w:space="0" w:color="auto"/>
        <w:bottom w:val="none" w:sz="0" w:space="0" w:color="auto"/>
        <w:right w:val="none" w:sz="0" w:space="0" w:color="auto"/>
      </w:divBdr>
    </w:div>
    <w:div w:id="1471166067">
      <w:bodyDiv w:val="1"/>
      <w:marLeft w:val="0"/>
      <w:marRight w:val="0"/>
      <w:marTop w:val="0"/>
      <w:marBottom w:val="0"/>
      <w:divBdr>
        <w:top w:val="none" w:sz="0" w:space="0" w:color="auto"/>
        <w:left w:val="none" w:sz="0" w:space="0" w:color="auto"/>
        <w:bottom w:val="none" w:sz="0" w:space="0" w:color="auto"/>
        <w:right w:val="none" w:sz="0" w:space="0" w:color="auto"/>
      </w:divBdr>
    </w:div>
    <w:div w:id="1545287040">
      <w:bodyDiv w:val="1"/>
      <w:marLeft w:val="0"/>
      <w:marRight w:val="0"/>
      <w:marTop w:val="0"/>
      <w:marBottom w:val="0"/>
      <w:divBdr>
        <w:top w:val="none" w:sz="0" w:space="0" w:color="auto"/>
        <w:left w:val="none" w:sz="0" w:space="0" w:color="auto"/>
        <w:bottom w:val="none" w:sz="0" w:space="0" w:color="auto"/>
        <w:right w:val="none" w:sz="0" w:space="0" w:color="auto"/>
      </w:divBdr>
    </w:div>
    <w:div w:id="1569219146">
      <w:bodyDiv w:val="1"/>
      <w:marLeft w:val="0"/>
      <w:marRight w:val="0"/>
      <w:marTop w:val="0"/>
      <w:marBottom w:val="0"/>
      <w:divBdr>
        <w:top w:val="none" w:sz="0" w:space="0" w:color="auto"/>
        <w:left w:val="none" w:sz="0" w:space="0" w:color="auto"/>
        <w:bottom w:val="none" w:sz="0" w:space="0" w:color="auto"/>
        <w:right w:val="none" w:sz="0" w:space="0" w:color="auto"/>
      </w:divBdr>
    </w:div>
    <w:div w:id="1628927969">
      <w:bodyDiv w:val="1"/>
      <w:marLeft w:val="0"/>
      <w:marRight w:val="0"/>
      <w:marTop w:val="0"/>
      <w:marBottom w:val="0"/>
      <w:divBdr>
        <w:top w:val="none" w:sz="0" w:space="0" w:color="auto"/>
        <w:left w:val="none" w:sz="0" w:space="0" w:color="auto"/>
        <w:bottom w:val="none" w:sz="0" w:space="0" w:color="auto"/>
        <w:right w:val="none" w:sz="0" w:space="0" w:color="auto"/>
      </w:divBdr>
    </w:div>
    <w:div w:id="1643147704">
      <w:bodyDiv w:val="1"/>
      <w:marLeft w:val="0"/>
      <w:marRight w:val="0"/>
      <w:marTop w:val="0"/>
      <w:marBottom w:val="0"/>
      <w:divBdr>
        <w:top w:val="none" w:sz="0" w:space="0" w:color="auto"/>
        <w:left w:val="none" w:sz="0" w:space="0" w:color="auto"/>
        <w:bottom w:val="none" w:sz="0" w:space="0" w:color="auto"/>
        <w:right w:val="none" w:sz="0" w:space="0" w:color="auto"/>
      </w:divBdr>
    </w:div>
    <w:div w:id="1650786666">
      <w:bodyDiv w:val="1"/>
      <w:marLeft w:val="0"/>
      <w:marRight w:val="0"/>
      <w:marTop w:val="0"/>
      <w:marBottom w:val="0"/>
      <w:divBdr>
        <w:top w:val="none" w:sz="0" w:space="0" w:color="auto"/>
        <w:left w:val="none" w:sz="0" w:space="0" w:color="auto"/>
        <w:bottom w:val="none" w:sz="0" w:space="0" w:color="auto"/>
        <w:right w:val="none" w:sz="0" w:space="0" w:color="auto"/>
      </w:divBdr>
    </w:div>
    <w:div w:id="1690060933">
      <w:bodyDiv w:val="1"/>
      <w:marLeft w:val="0"/>
      <w:marRight w:val="0"/>
      <w:marTop w:val="0"/>
      <w:marBottom w:val="0"/>
      <w:divBdr>
        <w:top w:val="none" w:sz="0" w:space="0" w:color="auto"/>
        <w:left w:val="none" w:sz="0" w:space="0" w:color="auto"/>
        <w:bottom w:val="none" w:sz="0" w:space="0" w:color="auto"/>
        <w:right w:val="none" w:sz="0" w:space="0" w:color="auto"/>
      </w:divBdr>
    </w:div>
    <w:div w:id="1716736375">
      <w:bodyDiv w:val="1"/>
      <w:marLeft w:val="0"/>
      <w:marRight w:val="0"/>
      <w:marTop w:val="0"/>
      <w:marBottom w:val="0"/>
      <w:divBdr>
        <w:top w:val="none" w:sz="0" w:space="0" w:color="auto"/>
        <w:left w:val="none" w:sz="0" w:space="0" w:color="auto"/>
        <w:bottom w:val="none" w:sz="0" w:space="0" w:color="auto"/>
        <w:right w:val="none" w:sz="0" w:space="0" w:color="auto"/>
      </w:divBdr>
    </w:div>
    <w:div w:id="1721519383">
      <w:bodyDiv w:val="1"/>
      <w:marLeft w:val="0"/>
      <w:marRight w:val="0"/>
      <w:marTop w:val="0"/>
      <w:marBottom w:val="0"/>
      <w:divBdr>
        <w:top w:val="none" w:sz="0" w:space="0" w:color="auto"/>
        <w:left w:val="none" w:sz="0" w:space="0" w:color="auto"/>
        <w:bottom w:val="none" w:sz="0" w:space="0" w:color="auto"/>
        <w:right w:val="none" w:sz="0" w:space="0" w:color="auto"/>
      </w:divBdr>
    </w:div>
    <w:div w:id="1724449762">
      <w:bodyDiv w:val="1"/>
      <w:marLeft w:val="0"/>
      <w:marRight w:val="0"/>
      <w:marTop w:val="0"/>
      <w:marBottom w:val="0"/>
      <w:divBdr>
        <w:top w:val="none" w:sz="0" w:space="0" w:color="auto"/>
        <w:left w:val="none" w:sz="0" w:space="0" w:color="auto"/>
        <w:bottom w:val="none" w:sz="0" w:space="0" w:color="auto"/>
        <w:right w:val="none" w:sz="0" w:space="0" w:color="auto"/>
      </w:divBdr>
    </w:div>
    <w:div w:id="1787232610">
      <w:bodyDiv w:val="1"/>
      <w:marLeft w:val="0"/>
      <w:marRight w:val="0"/>
      <w:marTop w:val="0"/>
      <w:marBottom w:val="0"/>
      <w:divBdr>
        <w:top w:val="none" w:sz="0" w:space="0" w:color="auto"/>
        <w:left w:val="none" w:sz="0" w:space="0" w:color="auto"/>
        <w:bottom w:val="none" w:sz="0" w:space="0" w:color="auto"/>
        <w:right w:val="none" w:sz="0" w:space="0" w:color="auto"/>
      </w:divBdr>
    </w:div>
    <w:div w:id="1805077426">
      <w:bodyDiv w:val="1"/>
      <w:marLeft w:val="0"/>
      <w:marRight w:val="0"/>
      <w:marTop w:val="0"/>
      <w:marBottom w:val="0"/>
      <w:divBdr>
        <w:top w:val="none" w:sz="0" w:space="0" w:color="auto"/>
        <w:left w:val="none" w:sz="0" w:space="0" w:color="auto"/>
        <w:bottom w:val="none" w:sz="0" w:space="0" w:color="auto"/>
        <w:right w:val="none" w:sz="0" w:space="0" w:color="auto"/>
      </w:divBdr>
    </w:div>
    <w:div w:id="1834099843">
      <w:bodyDiv w:val="1"/>
      <w:marLeft w:val="0"/>
      <w:marRight w:val="0"/>
      <w:marTop w:val="0"/>
      <w:marBottom w:val="0"/>
      <w:divBdr>
        <w:top w:val="none" w:sz="0" w:space="0" w:color="auto"/>
        <w:left w:val="none" w:sz="0" w:space="0" w:color="auto"/>
        <w:bottom w:val="none" w:sz="0" w:space="0" w:color="auto"/>
        <w:right w:val="none" w:sz="0" w:space="0" w:color="auto"/>
      </w:divBdr>
    </w:div>
    <w:div w:id="1905943717">
      <w:bodyDiv w:val="1"/>
      <w:marLeft w:val="0"/>
      <w:marRight w:val="0"/>
      <w:marTop w:val="0"/>
      <w:marBottom w:val="0"/>
      <w:divBdr>
        <w:top w:val="none" w:sz="0" w:space="0" w:color="auto"/>
        <w:left w:val="none" w:sz="0" w:space="0" w:color="auto"/>
        <w:bottom w:val="none" w:sz="0" w:space="0" w:color="auto"/>
        <w:right w:val="none" w:sz="0" w:space="0" w:color="auto"/>
      </w:divBdr>
    </w:div>
    <w:div w:id="1952082030">
      <w:bodyDiv w:val="1"/>
      <w:marLeft w:val="0"/>
      <w:marRight w:val="0"/>
      <w:marTop w:val="0"/>
      <w:marBottom w:val="0"/>
      <w:divBdr>
        <w:top w:val="none" w:sz="0" w:space="0" w:color="auto"/>
        <w:left w:val="none" w:sz="0" w:space="0" w:color="auto"/>
        <w:bottom w:val="none" w:sz="0" w:space="0" w:color="auto"/>
        <w:right w:val="none" w:sz="0" w:space="0" w:color="auto"/>
      </w:divBdr>
    </w:div>
    <w:div w:id="1956937516">
      <w:bodyDiv w:val="1"/>
      <w:marLeft w:val="0"/>
      <w:marRight w:val="0"/>
      <w:marTop w:val="0"/>
      <w:marBottom w:val="0"/>
      <w:divBdr>
        <w:top w:val="none" w:sz="0" w:space="0" w:color="auto"/>
        <w:left w:val="none" w:sz="0" w:space="0" w:color="auto"/>
        <w:bottom w:val="none" w:sz="0" w:space="0" w:color="auto"/>
        <w:right w:val="none" w:sz="0" w:space="0" w:color="auto"/>
      </w:divBdr>
    </w:div>
    <w:div w:id="2046444749">
      <w:bodyDiv w:val="1"/>
      <w:marLeft w:val="0"/>
      <w:marRight w:val="0"/>
      <w:marTop w:val="0"/>
      <w:marBottom w:val="0"/>
      <w:divBdr>
        <w:top w:val="none" w:sz="0" w:space="0" w:color="auto"/>
        <w:left w:val="none" w:sz="0" w:space="0" w:color="auto"/>
        <w:bottom w:val="none" w:sz="0" w:space="0" w:color="auto"/>
        <w:right w:val="none" w:sz="0" w:space="0" w:color="auto"/>
      </w:divBdr>
    </w:div>
    <w:div w:id="2058044809">
      <w:bodyDiv w:val="1"/>
      <w:marLeft w:val="0"/>
      <w:marRight w:val="0"/>
      <w:marTop w:val="0"/>
      <w:marBottom w:val="0"/>
      <w:divBdr>
        <w:top w:val="none" w:sz="0" w:space="0" w:color="auto"/>
        <w:left w:val="none" w:sz="0" w:space="0" w:color="auto"/>
        <w:bottom w:val="none" w:sz="0" w:space="0" w:color="auto"/>
        <w:right w:val="none" w:sz="0" w:space="0" w:color="auto"/>
      </w:divBdr>
    </w:div>
    <w:div w:id="2066879178">
      <w:bodyDiv w:val="1"/>
      <w:marLeft w:val="0"/>
      <w:marRight w:val="0"/>
      <w:marTop w:val="0"/>
      <w:marBottom w:val="0"/>
      <w:divBdr>
        <w:top w:val="none" w:sz="0" w:space="0" w:color="auto"/>
        <w:left w:val="none" w:sz="0" w:space="0" w:color="auto"/>
        <w:bottom w:val="none" w:sz="0" w:space="0" w:color="auto"/>
        <w:right w:val="none" w:sz="0" w:space="0" w:color="auto"/>
      </w:divBdr>
    </w:div>
    <w:div w:id="2100325370">
      <w:bodyDiv w:val="1"/>
      <w:marLeft w:val="0"/>
      <w:marRight w:val="0"/>
      <w:marTop w:val="0"/>
      <w:marBottom w:val="0"/>
      <w:divBdr>
        <w:top w:val="none" w:sz="0" w:space="0" w:color="auto"/>
        <w:left w:val="none" w:sz="0" w:space="0" w:color="auto"/>
        <w:bottom w:val="none" w:sz="0" w:space="0" w:color="auto"/>
        <w:right w:val="none" w:sz="0" w:space="0" w:color="auto"/>
      </w:divBdr>
    </w:div>
    <w:div w:id="2139840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chart" Target="charts/chart2.xml"/><Relationship Id="rId42" Type="http://schemas.openxmlformats.org/officeDocument/2006/relationships/package" Target="embeddings/Microsoft_Office_PowerPoint-lysbilde6.sldx"/><Relationship Id="rId47" Type="http://schemas.openxmlformats.org/officeDocument/2006/relationships/chart" Target="charts/chart22.xml"/><Relationship Id="rId63" Type="http://schemas.openxmlformats.org/officeDocument/2006/relationships/chart" Target="charts/chart38.xml"/><Relationship Id="rId68" Type="http://schemas.openxmlformats.org/officeDocument/2006/relationships/image" Target="media/image10.emf"/><Relationship Id="rId84" Type="http://schemas.openxmlformats.org/officeDocument/2006/relationships/chart" Target="charts/chart51.xml"/><Relationship Id="rId89" Type="http://schemas.openxmlformats.org/officeDocument/2006/relationships/chart" Target="charts/chart56.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chart" Target="charts/chart8.xml"/><Relationship Id="rId107" Type="http://schemas.openxmlformats.org/officeDocument/2006/relationships/chart" Target="charts/chart74.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image" Target="media/image8.emf"/><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chart" Target="charts/chart41.xml"/><Relationship Id="rId74" Type="http://schemas.openxmlformats.org/officeDocument/2006/relationships/chart" Target="charts/chart45.xml"/><Relationship Id="rId79" Type="http://schemas.openxmlformats.org/officeDocument/2006/relationships/package" Target="embeddings/Microsoft_Office_PowerPoint-lysbilde9.sldx"/><Relationship Id="rId87" Type="http://schemas.openxmlformats.org/officeDocument/2006/relationships/chart" Target="charts/chart54.xml"/><Relationship Id="rId102" Type="http://schemas.openxmlformats.org/officeDocument/2006/relationships/chart" Target="charts/chart69.xml"/><Relationship Id="rId110" Type="http://schemas.openxmlformats.org/officeDocument/2006/relationships/chart" Target="charts/chart77.xml"/><Relationship Id="rId5" Type="http://schemas.openxmlformats.org/officeDocument/2006/relationships/webSettings" Target="webSettings.xml"/><Relationship Id="rId61" Type="http://schemas.openxmlformats.org/officeDocument/2006/relationships/chart" Target="charts/chart36.xml"/><Relationship Id="rId82" Type="http://schemas.openxmlformats.org/officeDocument/2006/relationships/image" Target="media/image13.emf"/><Relationship Id="rId90" Type="http://schemas.openxmlformats.org/officeDocument/2006/relationships/chart" Target="charts/chart57.xml"/><Relationship Id="rId95" Type="http://schemas.openxmlformats.org/officeDocument/2006/relationships/chart" Target="charts/chart62.xml"/><Relationship Id="rId19" Type="http://schemas.openxmlformats.org/officeDocument/2006/relationships/package" Target="embeddings/Microsoft_Office_PowerPoint-lysbilde3.sldx"/><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package" Target="embeddings/Microsoft_Office_PowerPoint-lysbilde4.sldx"/><Relationship Id="rId30" Type="http://schemas.openxmlformats.org/officeDocument/2006/relationships/chart" Target="charts/chart9.xml"/><Relationship Id="rId35" Type="http://schemas.openxmlformats.org/officeDocument/2006/relationships/chart" Target="charts/chart12.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package" Target="embeddings/Microsoft_Office_PowerPoint-lysbilde7.sldx"/><Relationship Id="rId77" Type="http://schemas.openxmlformats.org/officeDocument/2006/relationships/chart" Target="charts/chart48.xml"/><Relationship Id="rId100" Type="http://schemas.openxmlformats.org/officeDocument/2006/relationships/chart" Target="charts/chart67.xml"/><Relationship Id="rId105" Type="http://schemas.openxmlformats.org/officeDocument/2006/relationships/chart" Target="charts/chart72.xml"/><Relationship Id="rId8" Type="http://schemas.openxmlformats.org/officeDocument/2006/relationships/image" Target="media/image1.wmf"/><Relationship Id="rId51" Type="http://schemas.openxmlformats.org/officeDocument/2006/relationships/chart" Target="charts/chart26.xml"/><Relationship Id="rId72" Type="http://schemas.openxmlformats.org/officeDocument/2006/relationships/package" Target="embeddings/Microsoft_Office_PowerPoint-lysbilde8.sldx"/><Relationship Id="rId80" Type="http://schemas.openxmlformats.org/officeDocument/2006/relationships/chart" Target="charts/chart49.xml"/><Relationship Id="rId85" Type="http://schemas.openxmlformats.org/officeDocument/2006/relationships/chart" Target="charts/chart52.xml"/><Relationship Id="rId93" Type="http://schemas.openxmlformats.org/officeDocument/2006/relationships/chart" Target="charts/chart60.xml"/><Relationship Id="rId98" Type="http://schemas.openxmlformats.org/officeDocument/2006/relationships/chart" Target="charts/chart6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package" Target="embeddings/Microsoft_Office_PowerPoint-lysbilde2.sldx"/><Relationship Id="rId25" Type="http://schemas.openxmlformats.org/officeDocument/2006/relationships/chart" Target="charts/chart6.xml"/><Relationship Id="rId33" Type="http://schemas.openxmlformats.org/officeDocument/2006/relationships/package" Target="embeddings/Microsoft_Office_PowerPoint-lysbilde5.sldx"/><Relationship Id="rId38" Type="http://schemas.openxmlformats.org/officeDocument/2006/relationships/chart" Target="charts/chart15.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2.xml"/><Relationship Id="rId103" Type="http://schemas.openxmlformats.org/officeDocument/2006/relationships/chart" Target="charts/chart70.xml"/><Relationship Id="rId108" Type="http://schemas.openxmlformats.org/officeDocument/2006/relationships/chart" Target="charts/chart75.xml"/><Relationship Id="rId20" Type="http://schemas.openxmlformats.org/officeDocument/2006/relationships/chart" Target="charts/chart1.xml"/><Relationship Id="rId41" Type="http://schemas.openxmlformats.org/officeDocument/2006/relationships/image" Target="media/image9.emf"/><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chart" Target="charts/chart43.xml"/><Relationship Id="rId75" Type="http://schemas.openxmlformats.org/officeDocument/2006/relationships/chart" Target="charts/chart46.xml"/><Relationship Id="rId83" Type="http://schemas.openxmlformats.org/officeDocument/2006/relationships/package" Target="embeddings/Microsoft_Office_PowerPoint-lysbilde10.sldx"/><Relationship Id="rId88" Type="http://schemas.openxmlformats.org/officeDocument/2006/relationships/chart" Target="charts/chart55.xml"/><Relationship Id="rId91" Type="http://schemas.openxmlformats.org/officeDocument/2006/relationships/chart" Target="charts/chart58.xml"/><Relationship Id="rId96" Type="http://schemas.openxmlformats.org/officeDocument/2006/relationships/chart" Target="charts/chart63.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chart" Target="charts/chart13.xml"/><Relationship Id="rId49" Type="http://schemas.openxmlformats.org/officeDocument/2006/relationships/chart" Target="charts/chart24.xml"/><Relationship Id="rId57" Type="http://schemas.openxmlformats.org/officeDocument/2006/relationships/chart" Target="charts/chart32.xml"/><Relationship Id="rId106" Type="http://schemas.openxmlformats.org/officeDocument/2006/relationships/chart" Target="charts/chart73.xml"/><Relationship Id="rId10" Type="http://schemas.openxmlformats.org/officeDocument/2006/relationships/package" Target="embeddings/Makroaktivert_lysbilde_for_Microsoft_Office_PowerPoint1.sldm"/><Relationship Id="rId31" Type="http://schemas.openxmlformats.org/officeDocument/2006/relationships/chart" Target="charts/chart10.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chart" Target="charts/chart44.xml"/><Relationship Id="rId78" Type="http://schemas.openxmlformats.org/officeDocument/2006/relationships/image" Target="media/image12.emf"/><Relationship Id="rId81" Type="http://schemas.openxmlformats.org/officeDocument/2006/relationships/chart" Target="charts/chart50.xml"/><Relationship Id="rId86" Type="http://schemas.openxmlformats.org/officeDocument/2006/relationships/chart" Target="charts/chart53.xml"/><Relationship Id="rId94" Type="http://schemas.openxmlformats.org/officeDocument/2006/relationships/chart" Target="charts/chart61.xml"/><Relationship Id="rId99" Type="http://schemas.openxmlformats.org/officeDocument/2006/relationships/chart" Target="charts/chart66.xml"/><Relationship Id="rId101" Type="http://schemas.openxmlformats.org/officeDocument/2006/relationships/chart" Target="charts/chart68.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image" Target="media/image6.emf"/><Relationship Id="rId39" Type="http://schemas.openxmlformats.org/officeDocument/2006/relationships/chart" Target="charts/chart16.xml"/><Relationship Id="rId109" Type="http://schemas.openxmlformats.org/officeDocument/2006/relationships/chart" Target="charts/chart76.xml"/><Relationship Id="rId34" Type="http://schemas.openxmlformats.org/officeDocument/2006/relationships/chart" Target="charts/chart11.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chart" Target="charts/chart47.xml"/><Relationship Id="rId97" Type="http://schemas.openxmlformats.org/officeDocument/2006/relationships/chart" Target="charts/chart64.xml"/><Relationship Id="rId104" Type="http://schemas.openxmlformats.org/officeDocument/2006/relationships/chart" Target="charts/chart71.xml"/><Relationship Id="rId7" Type="http://schemas.openxmlformats.org/officeDocument/2006/relationships/endnotes" Target="endnotes.xml"/><Relationship Id="rId71" Type="http://schemas.openxmlformats.org/officeDocument/2006/relationships/image" Target="media/image11.emf"/><Relationship Id="rId92" Type="http://schemas.openxmlformats.org/officeDocument/2006/relationships/chart" Target="charts/chart5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reide\AppData\Roaming\Microsoft\Maler\TF-notat%20A4.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folk2014\Kvartaldata%20v2kv2014%20rv13.xlsm"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Sogn%20og%20Fjordane%20grunnmur.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Sogn%20og%20Fjordane%20grunnmur.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Sogn%20og%20Fjordane%20grunnmur.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20grunnmur.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Sogn%20og%20Fjordane%20grunnmur.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Sogn%20og%20Fjordane%20grunnmur.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vareide\Documents\Data\div%20regionale%20trekk%202013.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Sogn%20og%20Fjordane%20grunnmur.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Sogn%20og%20Fjordane%20grunnmur.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arbeid\Basisn&#230;ringer\Basisn&#230;ringer%20kom%20og%20reg%20niv&#229;%20og%20vekstimpulser.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arbeid\Basisn&#230;ringer\Basisn&#230;ringer%20kom%20og%20reg%20niv&#229;%20og%20vekstimpulser.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20grunnmur.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arbeid\Basisn&#230;ringer\Basisn&#230;ringer%20kom%20og%20reg%20niv&#229;%20og%20vekstimpulser.xlsx"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20grunnmur.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arbeid\Bes&#248;ksn&#230;ringer\Bes&#248;k%20niv&#229;%20og%20vekstimpulser%20kommuner%20(Gjenopprettet).xlsx" TargetMode="External"/><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arbeid\Bes&#248;ksn&#230;ringer\Bes&#248;k%20niv&#229;%20og%20vekstimpulser%20kommuner%20(Gjenopprettet).xlsx" TargetMode="External"/><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oleObject" Target="file:///\\eik\TFBhome\TFBFELLES\Fagomr&#229;der\Regional%20utvikling\analyser2014\folk2014\Kvartaldata%20v2kv2014%20rv13.xlsm"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20grunnmur.xlsx" TargetMode="External"/><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arbeid\Bes&#248;ksn&#230;ringer\Bes&#248;k%20niv&#229;%20og%20vekstimpulser%20kommuner%20(Gjenopprettet).xlsx" TargetMode="External"/><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arbeid\Regionale%20n&#230;ringer\Regionale%20n&#230;ringer%20kommuner%20niv&#229;%20og%20vekstipulser.xlsx" TargetMode="External"/><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arbeid\Regionale%20n&#230;ringer\Regionale%20n&#230;ringer%20kommuner%20niv&#229;%20og%20vekstipulser.xlsx" TargetMode="External"/><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Gl&#229;mdal%20grunnmur.xlsx" TargetMode="External"/><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arbeid\Regionale%20n&#230;ringer\Regionale%20n&#230;ringer%20kommuner%20niv&#229;%20og%20vekstipulser.xlsx" TargetMode="External"/><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20grunnmur.xlsx" TargetMode="External"/><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1" Type="http://schemas.openxmlformats.org/officeDocument/2006/relationships/oleObject" Target="file:///\\eik\TFBhome\TFBFELLES\Fagomr&#229;der\Regional%20utvikling\analyser2014\arbeid\oppsummering%20attraktivitet.xlsx" TargetMode="External"/></Relationships>
</file>

<file path=word/charts/_rels/chart38.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20grunnmur.xlsx" TargetMode="External"/><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20grunnmur.xlsx" TargetMode="External"/><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20grunnmur.xlsx" TargetMode="External"/><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20grunnmur.xlsx" TargetMode="External"/><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oleObject" Target="Bok1" TargetMode="External"/><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20grunnmur.xlsx" TargetMode="External"/><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Bostedsattraktivitet%20og%20strukturelle%20flyttefaktorer\Strukturelle%20flyttefaktorer%20kommuner%20og%20regioner.xlsx" TargetMode="External"/><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Bostedsattraktivitet%20og%20strukturelle%20flyttefaktorer\Strukturelle%20flyttefaktorer%20kommuner%20og%20regioner.xlsx" TargetMode="External"/><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20grunnmur.xlsx" TargetMode="External"/><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1" Type="http://schemas.openxmlformats.org/officeDocument/2006/relationships/oleObject" Target="file:///\\eik\TFBhome\TFBFELLES\Fagomr&#229;der\Regional%20utvikling\analyser2014\Progmodellsyss.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vareide\Documents\Data\div%20regionale%20trekk%202013.xlsx" TargetMode="External"/></Relationships>
</file>

<file path=word/charts/_rels/chart49.xml.rels><?xml version="1.0" encoding="UTF-8" standalone="yes"?>
<Relationships xmlns="http://schemas.openxmlformats.org/package/2006/relationships"><Relationship Id="rId2" Type="http://schemas.openxmlformats.org/officeDocument/2006/relationships/oleObject" Target="file:///C:\Users\vareide\Documents\Data\Kopi%20av%20Norge%202014%20Prognose%201%203.xlsx" TargetMode="External"/><Relationship Id="rId1" Type="http://schemas.openxmlformats.org/officeDocument/2006/relationships/themeOverride" Target="../theme/themeOverride44.xml"/></Relationships>
</file>

<file path=word/charts/_rels/chart5.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folk2014\Kvartaldata%20v2kv2014%20rv13.xlsm" TargetMode="External"/><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vareide\Documents\Data\Kopi%20av%20Norge%202014%20Prognose%201%203.xlsx" TargetMode="External"/><Relationship Id="rId1" Type="http://schemas.openxmlformats.org/officeDocument/2006/relationships/themeOverride" Target="../theme/themeOverride45.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vareide\Documents\Data\Kopi%20av%20Norge%202014%20Prognose%201%203.xlsx" TargetMode="External"/><Relationship Id="rId1" Type="http://schemas.openxmlformats.org/officeDocument/2006/relationships/themeOverride" Target="../theme/themeOverride46.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vareide\Documents\Data\Kopi%20av%20Norge%202014%20Prognose%201%203.xlsx" TargetMode="External"/><Relationship Id="rId1" Type="http://schemas.openxmlformats.org/officeDocument/2006/relationships/themeOverride" Target="../theme/themeOverride47.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vareide\Documents\Data\Kopi%20av%20Norge%202014%20Prognose%201%203.xlsx" TargetMode="External"/><Relationship Id="rId1" Type="http://schemas.openxmlformats.org/officeDocument/2006/relationships/themeOverride" Target="../theme/themeOverride48.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vareide\Documents\Data\Kopi%20av%20Norge%202014%20Prognose%201%203.xlsx" TargetMode="External"/><Relationship Id="rId1" Type="http://schemas.openxmlformats.org/officeDocument/2006/relationships/themeOverride" Target="../theme/themeOverride49.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vareide\Documents\Data\Kopi%20av%20Norge%202014%20Prognose%201%203.xlsx" TargetMode="External"/><Relationship Id="rId1" Type="http://schemas.openxmlformats.org/officeDocument/2006/relationships/themeOverride" Target="../theme/themeOverride50.xml"/></Relationships>
</file>

<file path=word/charts/_rels/chart56.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renland\Utdanning%20grunnmur%20Grenland.xlsx" TargetMode="External"/><Relationship Id="rId1" Type="http://schemas.openxmlformats.org/officeDocument/2006/relationships/themeOverride" Target="../theme/themeOverride51.xml"/></Relationships>
</file>

<file path=word/charts/_rels/chart57.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Utdanning%20grunnmur%20Gl&#229;mdal.xlsx" TargetMode="External"/><Relationship Id="rId1" Type="http://schemas.openxmlformats.org/officeDocument/2006/relationships/themeOverride" Target="../theme/themeOverride52.xml"/></Relationships>
</file>

<file path=word/charts/_rels/chart58.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Utdanning%20grunnmur%20Vestfold.xlsx" TargetMode="External"/><Relationship Id="rId1" Type="http://schemas.openxmlformats.org/officeDocument/2006/relationships/themeOverride" Target="../theme/themeOverride53.xml"/></Relationships>
</file>

<file path=word/charts/_rels/chart59.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Utdanning%20grunnmur%20Gl&#229;mdal.xlsx" TargetMode="External"/><Relationship Id="rId1" Type="http://schemas.openxmlformats.org/officeDocument/2006/relationships/themeOverride" Target="../theme/themeOverride54.xml"/></Relationships>
</file>

<file path=word/charts/_rels/chart6.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Sogn%20og%20Fjordane%20grunnmur.xlsx" TargetMode="External"/><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Utdanning%20grunnmur%20Vestfold.xlsx" TargetMode="External"/><Relationship Id="rId1" Type="http://schemas.openxmlformats.org/officeDocument/2006/relationships/themeOverride" Target="../theme/themeOverride55.xml"/></Relationships>
</file>

<file path=word/charts/_rels/chart61.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Utdanning%20grunnmur%20Gl&#229;mdal.xlsx" TargetMode="External"/><Relationship Id="rId1" Type="http://schemas.openxmlformats.org/officeDocument/2006/relationships/themeOverride" Target="../theme/themeOverride56.xml"/></Relationships>
</file>

<file path=word/charts/_rels/chart62.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Utdanning%20grunnmur%20Gl&#229;mdal.xlsx" TargetMode="External"/><Relationship Id="rId1" Type="http://schemas.openxmlformats.org/officeDocument/2006/relationships/themeOverride" Target="../theme/themeOverride57.xml"/></Relationships>
</file>

<file path=word/charts/_rels/chart63.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Utdanning%20grunnmur%20Vestfold.xlsx" TargetMode="External"/><Relationship Id="rId1" Type="http://schemas.openxmlformats.org/officeDocument/2006/relationships/themeOverride" Target="../theme/themeOverride58.xml"/></Relationships>
</file>

<file path=word/charts/_rels/chart64.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Gl&#229;mdal\Utdanning%20grunnmur%20Gl&#229;mdal.xlsx" TargetMode="External"/><Relationship Id="rId1" Type="http://schemas.openxmlformats.org/officeDocument/2006/relationships/themeOverride" Target="../theme/themeOverride59.xml"/></Relationships>
</file>

<file path=word/charts/_rels/chart65.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INnovasjon%202014\Innovasjonsfrekvensregioner.xlsx" TargetMode="External"/><Relationship Id="rId1" Type="http://schemas.openxmlformats.org/officeDocument/2006/relationships/themeOverride" Target="../theme/themeOverride60.xml"/></Relationships>
</file>

<file path=word/charts/_rels/chart66.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INnovasjon%202014\Innovasjonsfrekvensregioner.xlsx" TargetMode="External"/><Relationship Id="rId1" Type="http://schemas.openxmlformats.org/officeDocument/2006/relationships/themeOverride" Target="../theme/themeOverride61.xml"/></Relationships>
</file>

<file path=word/charts/_rels/chart67.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INnovasjon%202014\internasjonalisering.xlsx" TargetMode="External"/><Relationship Id="rId1" Type="http://schemas.openxmlformats.org/officeDocument/2006/relationships/themeOverride" Target="../theme/themeOverride62.xml"/></Relationships>
</file>

<file path=word/charts/_rels/chart68.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INnovasjon%202014\internasjonalisering.xlsx" TargetMode="External"/><Relationship Id="rId1" Type="http://schemas.openxmlformats.org/officeDocument/2006/relationships/themeOverride" Target="../theme/themeOverride63.xml"/></Relationships>
</file>

<file path=word/charts/_rels/chart69.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Nyet\Nyetastat2014.xlsx" TargetMode="External"/><Relationship Id="rId1" Type="http://schemas.openxmlformats.org/officeDocument/2006/relationships/themeOverride" Target="../theme/themeOverride64.xml"/></Relationships>
</file>

<file path=word/charts/_rels/chart7.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Sogn%20og%20Fjordane%20grunnmur.xlsx" TargetMode="External"/><Relationship Id="rId1" Type="http://schemas.openxmlformats.org/officeDocument/2006/relationships/themeOverride" Target="../theme/themeOverride6.xml"/></Relationships>
</file>

<file path=word/charts/_rels/chart70.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Nyet\Nyetastat2014.xlsx" TargetMode="External"/><Relationship Id="rId1" Type="http://schemas.openxmlformats.org/officeDocument/2006/relationships/themeOverride" Target="../theme/themeOverride65.xml"/></Relationships>
</file>

<file path=word/charts/_rels/chart71.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NM2014\l&#248;nnsomhet%202014.xlsx" TargetMode="External"/><Relationship Id="rId1" Type="http://schemas.openxmlformats.org/officeDocument/2006/relationships/themeOverride" Target="../theme/themeOverride66.xml"/></Relationships>
</file>

<file path=word/charts/_rels/chart72.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NM2014\L&#248;nnindeks%20reg%202014%20NY.xlsx" TargetMode="External"/><Relationship Id="rId1" Type="http://schemas.openxmlformats.org/officeDocument/2006/relationships/themeOverride" Target="../theme/themeOverride67.xml"/></Relationships>
</file>

<file path=word/charts/_rels/chart73.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NM2014\Vekst%202014.xlsx" TargetMode="External"/><Relationship Id="rId1" Type="http://schemas.openxmlformats.org/officeDocument/2006/relationships/themeOverride" Target="../theme/themeOverride68.xml"/></Relationships>
</file>

<file path=word/charts/_rels/chart74.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NM2014\Vekstindeks%20reg%202014.xlsx" TargetMode="External"/><Relationship Id="rId1" Type="http://schemas.openxmlformats.org/officeDocument/2006/relationships/themeOverride" Target="../theme/themeOverride69.xml"/></Relationships>
</file>

<file path=word/charts/_rels/chart75.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NM2014\Indeks%20Reg%202014.xlsx" TargetMode="External"/><Relationship Id="rId1" Type="http://schemas.openxmlformats.org/officeDocument/2006/relationships/themeOverride" Target="../theme/themeOverride70.xml"/></Relationships>
</file>

<file path=word/charts/_rels/chart76.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NM2014\Indeks%20Reg%202014.xlsx" TargetMode="External"/><Relationship Id="rId1" Type="http://schemas.openxmlformats.org/officeDocument/2006/relationships/themeOverride" Target="../theme/themeOverride71.xml"/></Relationships>
</file>

<file path=word/charts/_rels/chart77.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NM2014\Indeks%20kom%202014.xlsx" TargetMode="External"/><Relationship Id="rId1" Type="http://schemas.openxmlformats.org/officeDocument/2006/relationships/themeOverride" Target="../theme/themeOverride72.xml"/></Relationships>
</file>

<file path=word/charts/_rels/chart8.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Sogn%20og%20Fjordane%20grunnmur.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eik\TFBhome\TFBFELLES\Fagomr&#229;der\Regional%20utvikling\analyser2014\Excelfiler%20for%20hvert%20enkelt%20sted\Sogn%20og%20Fjordane%20grunnmur.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pivotSource>
    <c:name>[Kvartaldata v2kv2014 rv13.xlsm]Data for Sheet1 Chart 5!PivotTable4</c:name>
    <c:fmtId val="320"/>
  </c:pivotSource>
  <c:chart>
    <c:autoTitleDeleted val="1"/>
    <c:pivotFmts>
      <c:pivotFmt>
        <c:idx val="0"/>
        <c:marker>
          <c:symbol val="none"/>
        </c:marker>
        <c:dLbl>
          <c:idx val="0"/>
          <c:delete val="1"/>
          <c:extLst>
            <c:ext xmlns:c15="http://schemas.microsoft.com/office/drawing/2012/chart" uri="{CE6537A1-D6FC-4f65-9D91-7224C49458BB}"/>
          </c:extLst>
        </c:dLbl>
      </c:pivotFmt>
      <c:pivotFmt>
        <c:idx val="1"/>
        <c:dLbl>
          <c:idx val="0"/>
          <c:showVal val="1"/>
          <c:extLst>
            <c:ext xmlns:c15="http://schemas.microsoft.com/office/drawing/2012/chart" uri="{CE6537A1-D6FC-4f65-9D91-7224C49458BB}"/>
          </c:extLst>
        </c:dLbl>
      </c:pivotFmt>
      <c:pivotFmt>
        <c:idx val="2"/>
      </c:pivotFmt>
      <c:pivotFmt>
        <c:idx val="3"/>
        <c:dLbl>
          <c:idx val="0"/>
          <c:showVal val="1"/>
          <c:extLst>
            <c:ext xmlns:c15="http://schemas.microsoft.com/office/drawing/2012/chart" uri="{CE6537A1-D6FC-4f65-9D91-7224C49458BB}"/>
          </c:extLst>
        </c:dLbl>
      </c:pivotFmt>
      <c:pivotFmt>
        <c:idx val="4"/>
        <c:dLbl>
          <c:idx val="0"/>
          <c:showVal val="1"/>
          <c:extLst>
            <c:ext xmlns:c15="http://schemas.microsoft.com/office/drawing/2012/chart" uri="{CE6537A1-D6FC-4f65-9D91-7224C49458BB}"/>
          </c:extLst>
        </c:dLbl>
      </c:pivotFmt>
      <c:pivotFmt>
        <c:idx val="5"/>
      </c:pivotFmt>
      <c:pivotFmt>
        <c:idx val="6"/>
        <c:dLbl>
          <c:idx val="0"/>
          <c:showVal val="1"/>
          <c:extLst>
            <c:ext xmlns:c15="http://schemas.microsoft.com/office/drawing/2012/chart" uri="{CE6537A1-D6FC-4f65-9D91-7224C49458BB}"/>
          </c:extLst>
        </c:dLbl>
      </c:pivotFmt>
      <c:pivotFmt>
        <c:idx val="7"/>
      </c:pivotFmt>
      <c:pivotFmt>
        <c:idx val="8"/>
      </c:pivotFmt>
      <c:pivotFmt>
        <c:idx val="9"/>
      </c:pivotFmt>
      <c:pivotFmt>
        <c:idx val="10"/>
        <c:marker>
          <c:symbol val="none"/>
        </c:marker>
        <c:dLbl>
          <c:idx val="0"/>
          <c:delete val="1"/>
          <c:extLst>
            <c:ext xmlns:c15="http://schemas.microsoft.com/office/drawing/2012/chart" uri="{CE6537A1-D6FC-4f65-9D91-7224C49458BB}"/>
          </c:extLst>
        </c:dLbl>
      </c:pivotFmt>
      <c:pivotFmt>
        <c:idx val="11"/>
        <c:dLbl>
          <c:idx val="0"/>
          <c:showVal val="1"/>
          <c:extLst>
            <c:ext xmlns:c15="http://schemas.microsoft.com/office/drawing/2012/chart" uri="{CE6537A1-D6FC-4f65-9D91-7224C49458BB}"/>
          </c:extLst>
        </c:dLbl>
      </c:pivotFmt>
      <c:pivotFmt>
        <c:idx val="12"/>
        <c:dLbl>
          <c:idx val="0"/>
          <c:showVal val="1"/>
          <c:extLst>
            <c:ext xmlns:c15="http://schemas.microsoft.com/office/drawing/2012/chart" uri="{CE6537A1-D6FC-4f65-9D91-7224C49458BB}"/>
          </c:extLst>
        </c:dLbl>
      </c:pivotFmt>
      <c:pivotFmt>
        <c:idx val="13"/>
        <c:marker>
          <c:symbol val="none"/>
        </c:marker>
      </c:pivotFmt>
      <c:pivotFmt>
        <c:idx val="14"/>
        <c:dLbl>
          <c:idx val="0"/>
          <c:spPr>
            <a:noFill/>
            <a:ln>
              <a:noFill/>
            </a:ln>
            <a:effectLst/>
          </c:spPr>
          <c:txPr>
            <a:bodyPr wrap="square" lIns="38100" tIns="19050" rIns="38100" bIns="19050" anchor="ctr">
              <a:spAutoFit/>
            </a:bodyPr>
            <a:lstStyle/>
            <a:p>
              <a:pPr>
                <a:defRPr sz="1100" b="1">
                  <a:latin typeface="Arial"/>
                  <a:ea typeface="Arial"/>
                  <a:cs typeface="Arial"/>
                </a:defRPr>
              </a:pPr>
              <a:endParaRPr lang="nb-NO"/>
            </a:p>
          </c:txPr>
          <c:showVal val="1"/>
          <c:extLst>
            <c:ext xmlns:c15="http://schemas.microsoft.com/office/drawing/2012/chart" uri="{CE6537A1-D6FC-4f65-9D91-7224C49458BB}"/>
          </c:extLst>
        </c:dLbl>
      </c:pivotFmt>
      <c:pivotFmt>
        <c:idx val="15"/>
      </c:pivotFmt>
      <c:pivotFmt>
        <c:idx val="16"/>
      </c:pivotFmt>
      <c:pivotFmt>
        <c:idx val="17"/>
      </c:pivotFmt>
      <c:pivotFmt>
        <c:idx val="18"/>
        <c:dLbl>
          <c:idx val="0"/>
          <c:spPr>
            <a:noFill/>
            <a:ln>
              <a:noFill/>
            </a:ln>
            <a:effectLst/>
          </c:spPr>
          <c:txPr>
            <a:bodyPr wrap="square" lIns="38100" tIns="19050" rIns="38100" bIns="19050" anchor="ctr">
              <a:spAutoFit/>
            </a:bodyPr>
            <a:lstStyle/>
            <a:p>
              <a:pPr>
                <a:defRPr sz="1100" b="1">
                  <a:latin typeface="Arial"/>
                  <a:ea typeface="Arial"/>
                  <a:cs typeface="Arial"/>
                </a:defRPr>
              </a:pPr>
              <a:endParaRPr lang="nb-NO"/>
            </a:p>
          </c:txPr>
          <c:showVal val="1"/>
          <c:extLst>
            <c:ext xmlns:c15="http://schemas.microsoft.com/office/drawing/2012/chart" uri="{CE6537A1-D6FC-4f65-9D91-7224C49458BB}"/>
          </c:extLst>
        </c:dLbl>
      </c:pivotFmt>
      <c:pivotFmt>
        <c:idx val="19"/>
        <c:marker>
          <c:symbol val="none"/>
        </c:marker>
        <c:dLbl>
          <c:idx val="0"/>
          <c:delete val="1"/>
          <c:extLst>
            <c:ext xmlns:c15="http://schemas.microsoft.com/office/drawing/2012/chart" uri="{CE6537A1-D6FC-4f65-9D91-7224C49458BB}"/>
          </c:extLst>
        </c:dLbl>
      </c:pivotFmt>
      <c:pivotFmt>
        <c:idx val="20"/>
        <c:dLbl>
          <c:idx val="0"/>
          <c:spPr>
            <a:noFill/>
            <a:ln>
              <a:noFill/>
            </a:ln>
            <a:effectLst/>
          </c:spPr>
          <c:txPr>
            <a:bodyPr wrap="square" lIns="38100" tIns="19050" rIns="38100" bIns="19050" anchor="ctr">
              <a:spAutoFit/>
            </a:bodyPr>
            <a:lstStyle/>
            <a:p>
              <a:pPr>
                <a:defRPr sz="1100" b="1">
                  <a:latin typeface="Arial"/>
                  <a:ea typeface="Arial"/>
                  <a:cs typeface="Arial"/>
                </a:defRPr>
              </a:pPr>
              <a:endParaRPr lang="nb-NO"/>
            </a:p>
          </c:txPr>
          <c:showVal val="1"/>
          <c:extLst>
            <c:ext xmlns:c15="http://schemas.microsoft.com/office/drawing/2012/chart" uri="{CE6537A1-D6FC-4f65-9D91-7224C49458BB}"/>
          </c:extLst>
        </c:dLbl>
      </c:pivotFmt>
      <c:pivotFmt>
        <c:idx val="21"/>
        <c:dLbl>
          <c:idx val="0"/>
          <c:spPr>
            <a:noFill/>
            <a:ln>
              <a:noFill/>
            </a:ln>
            <a:effectLst/>
          </c:spPr>
          <c:txPr>
            <a:bodyPr wrap="square" lIns="38100" tIns="19050" rIns="38100" bIns="19050" anchor="ctr">
              <a:spAutoFit/>
            </a:bodyPr>
            <a:lstStyle/>
            <a:p>
              <a:pPr>
                <a:defRPr sz="1100" b="1">
                  <a:latin typeface="Arial"/>
                  <a:ea typeface="Arial"/>
                  <a:cs typeface="Arial"/>
                </a:defRPr>
              </a:pPr>
              <a:endParaRPr lang="nb-NO"/>
            </a:p>
          </c:txPr>
          <c:showVal val="1"/>
          <c:extLst>
            <c:ext xmlns:c15="http://schemas.microsoft.com/office/drawing/2012/chart" uri="{CE6537A1-D6FC-4f65-9D91-7224C49458BB}"/>
          </c:extLst>
        </c:dLbl>
      </c:pivotFmt>
      <c:pivotFmt>
        <c:idx val="22"/>
        <c:marker>
          <c:symbol val="none"/>
        </c:marker>
        <c:dLbl>
          <c:idx val="0"/>
          <c:delete val="1"/>
          <c:extLst>
            <c:ext xmlns:c15="http://schemas.microsoft.com/office/drawing/2012/chart" uri="{CE6537A1-D6FC-4f65-9D91-7224C49458BB}"/>
          </c:extLst>
        </c:dLbl>
      </c:pivotFmt>
      <c:pivotFmt>
        <c:idx val="23"/>
        <c:dLbl>
          <c:idx val="0"/>
          <c:spPr>
            <a:noFill/>
            <a:ln>
              <a:noFill/>
            </a:ln>
            <a:effectLst/>
          </c:spPr>
          <c:txPr>
            <a:bodyPr wrap="square" lIns="38100" tIns="19050" rIns="38100" bIns="19050" anchor="ctr">
              <a:spAutoFit/>
            </a:bodyPr>
            <a:lstStyle/>
            <a:p>
              <a:pPr>
                <a:defRPr sz="1100" b="1">
                  <a:latin typeface="Arial"/>
                  <a:ea typeface="Arial"/>
                  <a:cs typeface="Arial"/>
                </a:defRPr>
              </a:pPr>
              <a:endParaRPr lang="nb-NO"/>
            </a:p>
          </c:txPr>
          <c:showVal val="1"/>
          <c:extLst>
            <c:ext xmlns:c15="http://schemas.microsoft.com/office/drawing/2012/chart" uri="{CE6537A1-D6FC-4f65-9D91-7224C49458BB}"/>
          </c:extLst>
        </c:dLbl>
      </c:pivotFmt>
      <c:pivotFmt>
        <c:idx val="24"/>
        <c:dLbl>
          <c:idx val="0"/>
          <c:spPr>
            <a:noFill/>
            <a:ln>
              <a:noFill/>
            </a:ln>
            <a:effectLst/>
          </c:spPr>
          <c:txPr>
            <a:bodyPr wrap="square" lIns="38100" tIns="19050" rIns="38100" bIns="19050" anchor="ctr">
              <a:spAutoFit/>
            </a:bodyPr>
            <a:lstStyle/>
            <a:p>
              <a:pPr>
                <a:defRPr sz="1100" b="1">
                  <a:latin typeface="Arial"/>
                  <a:ea typeface="Arial"/>
                  <a:cs typeface="Arial"/>
                </a:defRPr>
              </a:pPr>
              <a:endParaRPr lang="nb-NO"/>
            </a:p>
          </c:txPr>
          <c:showVal val="1"/>
          <c:extLst>
            <c:ext xmlns:c15="http://schemas.microsoft.com/office/drawing/2012/chart" uri="{CE6537A1-D6FC-4f65-9D91-7224C49458BB}"/>
          </c:extLst>
        </c:dLbl>
      </c:pivotFmt>
    </c:pivotFmts>
    <c:plotArea>
      <c:layout>
        <c:manualLayout>
          <c:layoutTarget val="inner"/>
          <c:xMode val="edge"/>
          <c:yMode val="edge"/>
          <c:x val="9.6442156197707268E-2"/>
          <c:y val="3.8219375714059381E-2"/>
          <c:w val="0.80141871793343655"/>
          <c:h val="0.82658275742164811"/>
        </c:manualLayout>
      </c:layout>
      <c:lineChart>
        <c:grouping val="standard"/>
        <c:ser>
          <c:idx val="0"/>
          <c:order val="0"/>
          <c:tx>
            <c:strRef>
              <c:f>'Data for Sheet1 Chart 5'!$B$1</c:f>
              <c:strCache>
                <c:ptCount val="1"/>
                <c:pt idx="0">
                  <c:v>Totalt</c:v>
                </c:pt>
              </c:strCache>
            </c:strRef>
          </c:tx>
          <c:marker>
            <c:symbol val="none"/>
          </c:marker>
          <c:dLbls>
            <c:dLbl>
              <c:idx val="0"/>
              <c:showVal val="1"/>
              <c:extLst>
                <c:ext xmlns:c15="http://schemas.microsoft.com/office/drawing/2012/chart" uri="{CE6537A1-D6FC-4f65-9D91-7224C49458BB}">
                  <c15:layout/>
                </c:ext>
              </c:extLst>
            </c:dLbl>
            <c:dLbl>
              <c:idx val="58"/>
              <c:showVal val="1"/>
              <c:extLst>
                <c:ext xmlns:c15="http://schemas.microsoft.com/office/drawing/2012/chart" uri="{CE6537A1-D6FC-4f65-9D91-7224C49458BB}">
                  <c15:layout/>
                </c:ext>
              </c:extLst>
            </c:dLbl>
            <c:delete val="1"/>
            <c:spPr>
              <a:noFill/>
              <a:ln>
                <a:noFill/>
              </a:ln>
              <a:effectLst/>
            </c:spPr>
            <c:txPr>
              <a:bodyPr wrap="square" lIns="38100" tIns="19050" rIns="38100" bIns="19050" anchor="ctr">
                <a:spAutoFit/>
              </a:bodyPr>
              <a:lstStyle/>
              <a:p>
                <a:pPr>
                  <a:defRPr sz="1100" b="1">
                    <a:latin typeface="Arial"/>
                    <a:ea typeface="Arial"/>
                    <a:cs typeface="Arial"/>
                  </a:defRPr>
                </a:pPr>
                <a:endParaRPr lang="nb-NO"/>
              </a:p>
            </c:txPr>
            <c:extLst>
              <c:ext xmlns:c15="http://schemas.microsoft.com/office/drawing/2012/chart" uri="{CE6537A1-D6FC-4f65-9D91-7224C49458BB}">
                <c15:showLeaderLines val="1"/>
              </c:ext>
            </c:extLst>
          </c:dLbls>
          <c:cat>
            <c:strRef>
              <c:f>'Data for Sheet1 Chart 5'!$A$2:$A$61</c:f>
              <c:strCache>
                <c:ptCount val="59"/>
                <c:pt idx="0">
                  <c:v>2000K1</c:v>
                </c:pt>
                <c:pt idx="1">
                  <c:v>2000K2</c:v>
                </c:pt>
                <c:pt idx="2">
                  <c:v>2000K3</c:v>
                </c:pt>
                <c:pt idx="3">
                  <c:v>2000K4</c:v>
                </c:pt>
                <c:pt idx="4">
                  <c:v>2001K1</c:v>
                </c:pt>
                <c:pt idx="5">
                  <c:v>2001K2</c:v>
                </c:pt>
                <c:pt idx="6">
                  <c:v>2001K3</c:v>
                </c:pt>
                <c:pt idx="7">
                  <c:v>2001K4</c:v>
                </c:pt>
                <c:pt idx="8">
                  <c:v>2002K1</c:v>
                </c:pt>
                <c:pt idx="9">
                  <c:v>2002K2</c:v>
                </c:pt>
                <c:pt idx="10">
                  <c:v>2002K3</c:v>
                </c:pt>
                <c:pt idx="11">
                  <c:v>2002K4</c:v>
                </c:pt>
                <c:pt idx="12">
                  <c:v>2003K1</c:v>
                </c:pt>
                <c:pt idx="13">
                  <c:v>2003K2</c:v>
                </c:pt>
                <c:pt idx="14">
                  <c:v>2003K3</c:v>
                </c:pt>
                <c:pt idx="15">
                  <c:v>2003K4</c:v>
                </c:pt>
                <c:pt idx="16">
                  <c:v>2004K1</c:v>
                </c:pt>
                <c:pt idx="17">
                  <c:v>2004K2</c:v>
                </c:pt>
                <c:pt idx="18">
                  <c:v>2004K3</c:v>
                </c:pt>
                <c:pt idx="19">
                  <c:v>2004K4</c:v>
                </c:pt>
                <c:pt idx="20">
                  <c:v>2005K1</c:v>
                </c:pt>
                <c:pt idx="21">
                  <c:v>2005K2</c:v>
                </c:pt>
                <c:pt idx="22">
                  <c:v>2005K3</c:v>
                </c:pt>
                <c:pt idx="23">
                  <c:v>2005K4</c:v>
                </c:pt>
                <c:pt idx="24">
                  <c:v>2006K1</c:v>
                </c:pt>
                <c:pt idx="25">
                  <c:v>2006K2</c:v>
                </c:pt>
                <c:pt idx="26">
                  <c:v>2006K3</c:v>
                </c:pt>
                <c:pt idx="27">
                  <c:v>2006K4</c:v>
                </c:pt>
                <c:pt idx="28">
                  <c:v>2007K1</c:v>
                </c:pt>
                <c:pt idx="29">
                  <c:v>2007K2</c:v>
                </c:pt>
                <c:pt idx="30">
                  <c:v>2007K3</c:v>
                </c:pt>
                <c:pt idx="31">
                  <c:v>2007K4</c:v>
                </c:pt>
                <c:pt idx="32">
                  <c:v>2008K1</c:v>
                </c:pt>
                <c:pt idx="33">
                  <c:v>2008K2</c:v>
                </c:pt>
                <c:pt idx="34">
                  <c:v>2008K3</c:v>
                </c:pt>
                <c:pt idx="35">
                  <c:v>2008K4</c:v>
                </c:pt>
                <c:pt idx="36">
                  <c:v>2009K1</c:v>
                </c:pt>
                <c:pt idx="37">
                  <c:v>2009K2</c:v>
                </c:pt>
                <c:pt idx="38">
                  <c:v>2009K3</c:v>
                </c:pt>
                <c:pt idx="39">
                  <c:v>2009K4</c:v>
                </c:pt>
                <c:pt idx="40">
                  <c:v>2010K1</c:v>
                </c:pt>
                <c:pt idx="41">
                  <c:v>2010K2</c:v>
                </c:pt>
                <c:pt idx="42">
                  <c:v>2010K3</c:v>
                </c:pt>
                <c:pt idx="43">
                  <c:v>2010K4</c:v>
                </c:pt>
                <c:pt idx="44">
                  <c:v>2011K1</c:v>
                </c:pt>
                <c:pt idx="45">
                  <c:v>2011K2</c:v>
                </c:pt>
                <c:pt idx="46">
                  <c:v>2011K3</c:v>
                </c:pt>
                <c:pt idx="47">
                  <c:v>2011K4</c:v>
                </c:pt>
                <c:pt idx="48">
                  <c:v>2012K1</c:v>
                </c:pt>
                <c:pt idx="49">
                  <c:v>2012K2</c:v>
                </c:pt>
                <c:pt idx="50">
                  <c:v>2012K3</c:v>
                </c:pt>
                <c:pt idx="51">
                  <c:v>2012K4</c:v>
                </c:pt>
                <c:pt idx="52">
                  <c:v>2013K1</c:v>
                </c:pt>
                <c:pt idx="53">
                  <c:v>2013K2</c:v>
                </c:pt>
                <c:pt idx="54">
                  <c:v>2013K3</c:v>
                </c:pt>
                <c:pt idx="55">
                  <c:v>2013K4</c:v>
                </c:pt>
                <c:pt idx="56">
                  <c:v>2014K1</c:v>
                </c:pt>
                <c:pt idx="57">
                  <c:v>2014K2</c:v>
                </c:pt>
                <c:pt idx="58">
                  <c:v>2014K3</c:v>
                </c:pt>
              </c:strCache>
            </c:strRef>
          </c:cat>
          <c:val>
            <c:numRef>
              <c:f>'Data for Sheet1 Chart 5'!$B$2:$B$61</c:f>
              <c:numCache>
                <c:formatCode>General</c:formatCode>
                <c:ptCount val="59"/>
                <c:pt idx="0">
                  <c:v>53768</c:v>
                </c:pt>
                <c:pt idx="1">
                  <c:v>53812</c:v>
                </c:pt>
                <c:pt idx="2">
                  <c:v>53946</c:v>
                </c:pt>
                <c:pt idx="3">
                  <c:v>53933</c:v>
                </c:pt>
                <c:pt idx="4">
                  <c:v>53878</c:v>
                </c:pt>
                <c:pt idx="5">
                  <c:v>53796</c:v>
                </c:pt>
                <c:pt idx="6">
                  <c:v>53771</c:v>
                </c:pt>
                <c:pt idx="7">
                  <c:v>53842</c:v>
                </c:pt>
                <c:pt idx="8">
                  <c:v>53698</c:v>
                </c:pt>
                <c:pt idx="9">
                  <c:v>53697</c:v>
                </c:pt>
                <c:pt idx="10">
                  <c:v>53608</c:v>
                </c:pt>
                <c:pt idx="11">
                  <c:v>53680</c:v>
                </c:pt>
                <c:pt idx="12">
                  <c:v>53680</c:v>
                </c:pt>
                <c:pt idx="13">
                  <c:v>53707</c:v>
                </c:pt>
                <c:pt idx="14">
                  <c:v>53686</c:v>
                </c:pt>
                <c:pt idx="15">
                  <c:v>53589</c:v>
                </c:pt>
                <c:pt idx="16">
                  <c:v>53564</c:v>
                </c:pt>
                <c:pt idx="17">
                  <c:v>53549</c:v>
                </c:pt>
                <c:pt idx="18">
                  <c:v>53478</c:v>
                </c:pt>
                <c:pt idx="19">
                  <c:v>53463</c:v>
                </c:pt>
                <c:pt idx="20">
                  <c:v>53337</c:v>
                </c:pt>
                <c:pt idx="21">
                  <c:v>53346</c:v>
                </c:pt>
                <c:pt idx="22">
                  <c:v>53285</c:v>
                </c:pt>
                <c:pt idx="23">
                  <c:v>53241</c:v>
                </c:pt>
                <c:pt idx="24">
                  <c:v>53153</c:v>
                </c:pt>
                <c:pt idx="25">
                  <c:v>53190</c:v>
                </c:pt>
                <c:pt idx="26">
                  <c:v>53105</c:v>
                </c:pt>
                <c:pt idx="27">
                  <c:v>53063</c:v>
                </c:pt>
                <c:pt idx="28">
                  <c:v>53033</c:v>
                </c:pt>
                <c:pt idx="29">
                  <c:v>53013</c:v>
                </c:pt>
                <c:pt idx="30">
                  <c:v>53099</c:v>
                </c:pt>
                <c:pt idx="31">
                  <c:v>53164</c:v>
                </c:pt>
                <c:pt idx="32">
                  <c:v>53179</c:v>
                </c:pt>
                <c:pt idx="33">
                  <c:v>53188</c:v>
                </c:pt>
                <c:pt idx="34">
                  <c:v>53214</c:v>
                </c:pt>
                <c:pt idx="35">
                  <c:v>53172</c:v>
                </c:pt>
                <c:pt idx="36">
                  <c:v>53070</c:v>
                </c:pt>
                <c:pt idx="37">
                  <c:v>53155</c:v>
                </c:pt>
                <c:pt idx="38">
                  <c:v>53179</c:v>
                </c:pt>
                <c:pt idx="39">
                  <c:v>53168</c:v>
                </c:pt>
                <c:pt idx="40">
                  <c:v>53169</c:v>
                </c:pt>
                <c:pt idx="41">
                  <c:v>53150</c:v>
                </c:pt>
                <c:pt idx="42">
                  <c:v>53152</c:v>
                </c:pt>
                <c:pt idx="43">
                  <c:v>53182</c:v>
                </c:pt>
                <c:pt idx="44">
                  <c:v>53191</c:v>
                </c:pt>
                <c:pt idx="45">
                  <c:v>53263</c:v>
                </c:pt>
                <c:pt idx="46">
                  <c:v>53283</c:v>
                </c:pt>
                <c:pt idx="47">
                  <c:v>53263</c:v>
                </c:pt>
                <c:pt idx="48">
                  <c:v>53219</c:v>
                </c:pt>
                <c:pt idx="49">
                  <c:v>53257</c:v>
                </c:pt>
                <c:pt idx="50">
                  <c:v>53296</c:v>
                </c:pt>
                <c:pt idx="51">
                  <c:v>53339</c:v>
                </c:pt>
                <c:pt idx="52">
                  <c:v>53330</c:v>
                </c:pt>
                <c:pt idx="53">
                  <c:v>53316</c:v>
                </c:pt>
                <c:pt idx="54">
                  <c:v>53292</c:v>
                </c:pt>
                <c:pt idx="55">
                  <c:v>53318</c:v>
                </c:pt>
                <c:pt idx="56">
                  <c:v>53378</c:v>
                </c:pt>
                <c:pt idx="57">
                  <c:v>53330</c:v>
                </c:pt>
                <c:pt idx="58">
                  <c:v>53269</c:v>
                </c:pt>
              </c:numCache>
            </c:numRef>
          </c:val>
        </c:ser>
        <c:marker val="1"/>
        <c:axId val="97733632"/>
        <c:axId val="97739520"/>
      </c:lineChart>
      <c:catAx>
        <c:axId val="97733632"/>
        <c:scaling>
          <c:orientation val="minMax"/>
        </c:scaling>
        <c:axPos val="b"/>
        <c:numFmt formatCode="General" sourceLinked="0"/>
        <c:majorTickMark val="none"/>
        <c:tickLblPos val="nextTo"/>
        <c:spPr>
          <a:ln>
            <a:solidFill>
              <a:schemeClr val="accent1">
                <a:lumMod val="20000"/>
                <a:lumOff val="80000"/>
              </a:schemeClr>
            </a:solidFill>
          </a:ln>
        </c:spPr>
        <c:txPr>
          <a:bodyPr rot="5400000" vert="horz"/>
          <a:lstStyle/>
          <a:p>
            <a:pPr>
              <a:defRPr/>
            </a:pPr>
            <a:endParaRPr lang="nb-NO"/>
          </a:p>
        </c:txPr>
        <c:crossAx val="97739520"/>
        <c:crosses val="autoZero"/>
        <c:auto val="1"/>
        <c:lblAlgn val="ctr"/>
        <c:lblOffset val="100"/>
        <c:tickLblSkip val="4"/>
      </c:catAx>
      <c:valAx>
        <c:axId val="97739520"/>
        <c:scaling>
          <c:orientation val="minMax"/>
          <c:max val="54000"/>
          <c:min val="53000"/>
        </c:scaling>
        <c:axPos val="l"/>
        <c:majorGridlines>
          <c:spPr>
            <a:ln>
              <a:solidFill>
                <a:schemeClr val="accent1">
                  <a:lumMod val="20000"/>
                  <a:lumOff val="80000"/>
                </a:schemeClr>
              </a:solidFill>
            </a:ln>
          </c:spPr>
        </c:majorGridlines>
        <c:numFmt formatCode="#,##0" sourceLinked="0"/>
        <c:majorTickMark val="none"/>
        <c:tickLblPos val="nextTo"/>
        <c:spPr>
          <a:ln>
            <a:noFill/>
          </a:ln>
        </c:spPr>
        <c:crossAx val="97733632"/>
        <c:crosses val="autoZero"/>
        <c:crossBetween val="between"/>
        <c:majorUnit val="200"/>
      </c:valAx>
    </c:plotArea>
    <c:plotVisOnly val="1"/>
    <c:dispBlanksAs val="gap"/>
  </c:chart>
  <c:spPr>
    <a:ln>
      <a:noFill/>
    </a:ln>
  </c:spPr>
  <c:txPr>
    <a:bodyPr/>
    <a:lstStyle/>
    <a:p>
      <a:pPr>
        <a:defRPr sz="800">
          <a:latin typeface="Arial" pitchFamily="34" charset="0"/>
          <a:cs typeface="Arial"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pivotSource>
    <c:name>[Glåmdal grunnmur.xlsx]Vekst privat region!næringsvekst regioner</c:name>
    <c:fmtId val="21"/>
  </c:pivotSource>
  <c:chart>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1"/>
          </a:solidFill>
          <a:ln w="28575" cap="rnd">
            <a:solidFill>
              <a:schemeClr val="accent1"/>
            </a:solidFill>
            <a:round/>
          </a:ln>
          <a:effectLst/>
        </c:spPr>
        <c:marker>
          <c:symbol val="none"/>
        </c:marker>
      </c:pivotFmt>
      <c:pivotFmt>
        <c:idx val="5"/>
        <c:spPr>
          <a:solidFill>
            <a:schemeClr val="accent1"/>
          </a:solidFill>
          <a:ln w="28575" cap="rnd">
            <a:solidFill>
              <a:schemeClr val="accent1"/>
            </a:solidFill>
            <a:round/>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w="28575" cap="rnd">
            <a:solidFill>
              <a:schemeClr val="accent1"/>
            </a:solidFill>
            <a:round/>
          </a:ln>
          <a:effectLst/>
        </c:spPr>
        <c:marker>
          <c:symbol val="none"/>
        </c:marker>
      </c:pivotFmt>
      <c:pivotFmt>
        <c:idx val="11"/>
        <c:spPr>
          <a:solidFill>
            <a:schemeClr val="accent1"/>
          </a:solidFill>
          <a:ln w="28575" cap="rnd">
            <a:solidFill>
              <a:schemeClr val="accent1"/>
            </a:solidFill>
            <a:round/>
          </a:ln>
          <a:effectLst/>
        </c:spPr>
        <c:marker>
          <c:symbol val="none"/>
        </c:marker>
      </c:pivotFmt>
      <c:pivotFmt>
        <c:idx val="12"/>
        <c:spPr>
          <a:solidFill>
            <a:schemeClr val="accent1"/>
          </a:solidFill>
          <a:ln w="28575" cap="rnd">
            <a:solidFill>
              <a:schemeClr val="accent1"/>
            </a:solidFill>
            <a:round/>
          </a:ln>
          <a:effectLst/>
        </c:spPr>
        <c:marker>
          <c:symbol val="none"/>
        </c:marker>
      </c:pivotFmt>
      <c:pivotFmt>
        <c:idx val="13"/>
        <c:spPr>
          <a:solidFill>
            <a:schemeClr val="accent1"/>
          </a:solidFill>
          <a:ln w="28575" cap="rnd">
            <a:solidFill>
              <a:schemeClr val="accent1"/>
            </a:solidFill>
            <a:round/>
          </a:ln>
          <a:effectLst/>
        </c:spPr>
        <c:marker>
          <c:symbol val="none"/>
        </c:marker>
      </c:pivotFmt>
      <c:pivotFmt>
        <c:idx val="1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pivotFmt>
      <c:pivotFmt>
        <c:idx val="23"/>
        <c:spPr>
          <a:solidFill>
            <a:schemeClr val="accent1"/>
          </a:solidFill>
          <a:ln w="28575" cap="rnd">
            <a:solidFill>
              <a:schemeClr val="accent1"/>
            </a:solidFill>
            <a:round/>
          </a:ln>
          <a:effectLst/>
        </c:spPr>
        <c:marker>
          <c:symbol val="none"/>
        </c:marker>
      </c:pivotFmt>
      <c:pivotFmt>
        <c:idx val="2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pivotFmt>
      <c:pivotFmt>
        <c:idx val="27"/>
        <c:spPr>
          <a:solidFill>
            <a:schemeClr val="accent1"/>
          </a:solidFill>
          <a:ln w="28575" cap="rnd">
            <a:solidFill>
              <a:schemeClr val="accent1"/>
            </a:solidFill>
            <a:round/>
          </a:ln>
          <a:effectLst/>
        </c:spPr>
        <c:marker>
          <c:symbol val="none"/>
        </c:marker>
      </c:pivotFmt>
      <c:pivotFmt>
        <c:idx val="28"/>
        <c:spPr>
          <a:solidFill>
            <a:schemeClr val="accent1"/>
          </a:solidFill>
          <a:ln w="28575" cap="rnd">
            <a:solidFill>
              <a:schemeClr val="accent1"/>
            </a:solidFill>
            <a:round/>
          </a:ln>
          <a:effectLst/>
        </c:spPr>
        <c:marker>
          <c:symbol val="none"/>
        </c:marker>
      </c:pivotFmt>
      <c:pivotFmt>
        <c:idx val="29"/>
        <c:spPr>
          <a:solidFill>
            <a:schemeClr val="accent1"/>
          </a:solidFill>
          <a:ln w="28575" cap="rnd">
            <a:solidFill>
              <a:schemeClr val="accent1"/>
            </a:solidFill>
            <a:round/>
          </a:ln>
          <a:effectLst/>
        </c:spPr>
        <c:marker>
          <c:symbol val="none"/>
        </c:marker>
      </c:pivotFmt>
      <c:pivotFmt>
        <c:idx val="30"/>
        <c:spPr>
          <a:solidFill>
            <a:schemeClr val="accent1"/>
          </a:solidFill>
          <a:ln w="28575" cap="rnd">
            <a:solidFill>
              <a:schemeClr val="accent1"/>
            </a:solidFill>
            <a:round/>
          </a:ln>
          <a:effectLst/>
        </c:spPr>
        <c:marker>
          <c:symbol val="none"/>
        </c:marker>
      </c:pivotFmt>
      <c:pivotFmt>
        <c:idx val="31"/>
        <c:spPr>
          <a:solidFill>
            <a:schemeClr val="accent1"/>
          </a:solidFill>
          <a:ln w="28575" cap="rnd">
            <a:solidFill>
              <a:schemeClr val="accent1"/>
            </a:solidFill>
            <a:round/>
          </a:ln>
          <a:effectLst/>
        </c:spPr>
        <c:marker>
          <c:symbol val="none"/>
        </c:marker>
      </c:pivotFmt>
      <c:pivotFmt>
        <c:idx val="32"/>
        <c:spPr>
          <a:solidFill>
            <a:schemeClr val="accent1"/>
          </a:solidFill>
          <a:ln w="28575" cap="rnd">
            <a:solidFill>
              <a:schemeClr val="accent1"/>
            </a:solidFill>
            <a:round/>
          </a:ln>
          <a:effectLst/>
        </c:spPr>
        <c:marker>
          <c:symbol val="none"/>
        </c:marker>
      </c:pivotFmt>
      <c:pivotFmt>
        <c:idx val="3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8"/>
        <c:spPr>
          <a:solidFill>
            <a:schemeClr val="accent1"/>
          </a:solidFill>
          <a:ln w="28575" cap="rnd">
            <a:solidFill>
              <a:schemeClr val="accent1"/>
            </a:solidFill>
            <a:round/>
          </a:ln>
          <a:effectLst/>
        </c:spPr>
        <c:marker>
          <c:symbol val="none"/>
        </c:marker>
      </c:pivotFmt>
      <c:pivotFmt>
        <c:idx val="39"/>
        <c:spPr>
          <a:solidFill>
            <a:schemeClr val="accent1"/>
          </a:solidFill>
          <a:ln w="28575" cap="rnd">
            <a:solidFill>
              <a:schemeClr val="accent1"/>
            </a:solidFill>
            <a:round/>
          </a:ln>
          <a:effectLst/>
        </c:spPr>
        <c:marker>
          <c:symbol val="none"/>
        </c:marker>
      </c:pivotFmt>
      <c:pivotFmt>
        <c:idx val="40"/>
        <c:spPr>
          <a:solidFill>
            <a:schemeClr val="accent1"/>
          </a:solidFill>
          <a:ln w="28575" cap="rnd">
            <a:solidFill>
              <a:schemeClr val="accent1"/>
            </a:solidFill>
            <a:round/>
          </a:ln>
          <a:effectLst/>
        </c:spPr>
        <c:marker>
          <c:symbol val="none"/>
        </c:marker>
      </c:pivotFmt>
      <c:pivotFmt>
        <c:idx val="41"/>
        <c:spPr>
          <a:solidFill>
            <a:schemeClr val="accent1"/>
          </a:solidFill>
          <a:ln w="28575" cap="rnd">
            <a:solidFill>
              <a:schemeClr val="accent1"/>
            </a:solidFill>
            <a:round/>
          </a:ln>
          <a:effectLst/>
        </c:spPr>
        <c:marker>
          <c:symbol val="none"/>
        </c:marker>
      </c:pivotFmt>
      <c:pivotFmt>
        <c:idx val="42"/>
        <c:spPr>
          <a:solidFill>
            <a:schemeClr val="accent1"/>
          </a:solidFill>
          <a:ln w="28575" cap="rnd">
            <a:solidFill>
              <a:schemeClr val="accent1"/>
            </a:solidFill>
            <a:round/>
          </a:ln>
          <a:effectLst/>
        </c:spPr>
        <c:marker>
          <c:symbol val="none"/>
        </c:marker>
      </c:pivotFmt>
      <c:pivotFmt>
        <c:idx val="43"/>
        <c:spPr>
          <a:solidFill>
            <a:schemeClr val="accent1"/>
          </a:solidFill>
          <a:ln w="28575" cap="rnd">
            <a:solidFill>
              <a:schemeClr val="accent1"/>
            </a:solidFill>
            <a:round/>
          </a:ln>
          <a:effectLst/>
        </c:spPr>
        <c:marker>
          <c:symbol val="none"/>
        </c:marker>
      </c:pivotFmt>
      <c:pivotFmt>
        <c:idx val="44"/>
        <c:spPr>
          <a:solidFill>
            <a:schemeClr val="accent1"/>
          </a:solidFill>
          <a:ln w="28575" cap="rnd">
            <a:solidFill>
              <a:schemeClr val="accent1"/>
            </a:solidFill>
            <a:round/>
          </a:ln>
          <a:effectLst/>
        </c:spPr>
        <c:marker>
          <c:symbol val="none"/>
        </c:marker>
      </c:pivotFmt>
      <c:pivotFmt>
        <c:idx val="4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9"/>
        <c:spPr>
          <a:solidFill>
            <a:schemeClr val="accent1"/>
          </a:solidFill>
          <a:ln w="28575" cap="rnd">
            <a:solidFill>
              <a:schemeClr val="accent1"/>
            </a:solidFill>
            <a:round/>
          </a:ln>
          <a:effectLst/>
        </c:spPr>
        <c:marker>
          <c:symbol val="none"/>
        </c:marker>
      </c:pivotFmt>
      <c:pivotFmt>
        <c:idx val="50"/>
        <c:spPr>
          <a:solidFill>
            <a:schemeClr val="accent1"/>
          </a:solidFill>
          <a:ln w="28575" cap="rnd">
            <a:solidFill>
              <a:schemeClr val="accent1"/>
            </a:solidFill>
            <a:round/>
          </a:ln>
          <a:effectLst/>
        </c:spPr>
        <c:marker>
          <c:symbol val="none"/>
        </c:marker>
      </c:pivotFmt>
      <c:pivotFmt>
        <c:idx val="51"/>
        <c:spPr>
          <a:solidFill>
            <a:schemeClr val="accent1"/>
          </a:solidFill>
          <a:ln w="28575" cap="rnd">
            <a:solidFill>
              <a:schemeClr val="accent1"/>
            </a:solidFill>
            <a:round/>
          </a:ln>
          <a:effectLst/>
        </c:spPr>
        <c:marker>
          <c:symbol val="none"/>
        </c:marker>
      </c:pivotFmt>
      <c:pivotFmt>
        <c:idx val="52"/>
        <c:spPr>
          <a:solidFill>
            <a:schemeClr val="accent1"/>
          </a:solidFill>
          <a:ln w="28575" cap="rnd">
            <a:solidFill>
              <a:schemeClr val="accent1"/>
            </a:solidFill>
            <a:round/>
          </a:ln>
          <a:effectLst/>
        </c:spPr>
        <c:marker>
          <c:symbol val="none"/>
        </c:marker>
      </c:pivotFmt>
      <c:pivotFmt>
        <c:idx val="53"/>
        <c:spPr>
          <a:solidFill>
            <a:schemeClr val="accent1"/>
          </a:solidFill>
          <a:ln w="28575" cap="rnd">
            <a:solidFill>
              <a:schemeClr val="accent1"/>
            </a:solidFill>
            <a:round/>
          </a:ln>
          <a:effectLst/>
        </c:spPr>
        <c:marker>
          <c:symbol val="none"/>
        </c:marker>
      </c:pivotFmt>
      <c:pivotFmt>
        <c:idx val="54"/>
        <c:spPr>
          <a:solidFill>
            <a:schemeClr val="accent1"/>
          </a:solidFill>
          <a:ln w="28575" cap="rnd">
            <a:solidFill>
              <a:schemeClr val="accent1"/>
            </a:solidFill>
            <a:round/>
          </a:ln>
          <a:effectLst/>
        </c:spPr>
        <c:marker>
          <c:symbol val="none"/>
        </c:marker>
      </c:pivotFmt>
      <c:pivotFmt>
        <c:idx val="55"/>
        <c:spPr>
          <a:solidFill>
            <a:schemeClr val="accent1"/>
          </a:solidFill>
          <a:ln w="28575" cap="rnd">
            <a:solidFill>
              <a:schemeClr val="accent1"/>
            </a:solidFill>
            <a:round/>
          </a:ln>
          <a:effectLst/>
        </c:spPr>
        <c:marker>
          <c:symbol val="none"/>
        </c:marker>
      </c:pivotFmt>
      <c:pivotFmt>
        <c:idx val="56"/>
        <c:spPr>
          <a:solidFill>
            <a:schemeClr val="accent1"/>
          </a:solidFill>
          <a:ln w="28575" cap="rnd">
            <a:solidFill>
              <a:schemeClr val="accent1"/>
            </a:solidFill>
            <a:round/>
          </a:ln>
          <a:effectLst/>
        </c:spPr>
        <c:marker>
          <c:symbol val="none"/>
        </c:marker>
      </c:pivotFmt>
      <c:pivotFmt>
        <c:idx val="5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8"/>
        <c:spPr>
          <a:solidFill>
            <a:schemeClr val="accent1"/>
          </a:solidFill>
          <a:ln w="28575" cap="rnd">
            <a:solidFill>
              <a:schemeClr val="accent1"/>
            </a:solidFill>
            <a:round/>
          </a:ln>
          <a:effectLst/>
        </c:spPr>
        <c:marker>
          <c:symbol val="none"/>
        </c:marker>
      </c:pivotFmt>
      <c:pivotFmt>
        <c:idx val="5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1"/>
        <c:spPr>
          <a:solidFill>
            <a:schemeClr val="accent1"/>
          </a:solidFill>
          <a:ln w="28575" cap="rnd">
            <a:solidFill>
              <a:schemeClr val="accent1"/>
            </a:solidFill>
            <a:round/>
          </a:ln>
          <a:effectLst/>
        </c:spPr>
        <c:marker>
          <c:symbol val="none"/>
        </c:marker>
      </c:pivotFmt>
      <c:pivotFmt>
        <c:idx val="62"/>
        <c:spPr>
          <a:solidFill>
            <a:schemeClr val="accent1"/>
          </a:solidFill>
          <a:ln w="28575" cap="rnd">
            <a:solidFill>
              <a:schemeClr val="accent1"/>
            </a:solidFill>
            <a:round/>
          </a:ln>
          <a:effectLst/>
        </c:spPr>
        <c:marker>
          <c:symbol val="none"/>
        </c:marker>
      </c:pivotFmt>
      <c:pivotFmt>
        <c:idx val="63"/>
        <c:spPr>
          <a:solidFill>
            <a:schemeClr val="accent1"/>
          </a:solidFill>
          <a:ln w="28575" cap="rnd">
            <a:solidFill>
              <a:schemeClr val="accent1"/>
            </a:solidFill>
            <a:round/>
          </a:ln>
          <a:effectLst/>
        </c:spPr>
        <c:marker>
          <c:symbol val="none"/>
        </c:marker>
      </c:pivotFmt>
      <c:pivotFmt>
        <c:idx val="64"/>
        <c:spPr>
          <a:solidFill>
            <a:schemeClr val="accent1"/>
          </a:solidFill>
          <a:ln w="28575" cap="rnd">
            <a:solidFill>
              <a:schemeClr val="accent1"/>
            </a:solidFill>
            <a:round/>
          </a:ln>
          <a:effectLst/>
        </c:spPr>
        <c:marker>
          <c:symbol val="none"/>
        </c:marker>
      </c:pivotFmt>
      <c:pivotFmt>
        <c:idx val="65"/>
        <c:spPr>
          <a:solidFill>
            <a:schemeClr val="accent1"/>
          </a:solidFill>
          <a:ln w="28575" cap="rnd">
            <a:solidFill>
              <a:schemeClr val="accent1"/>
            </a:solidFill>
            <a:round/>
          </a:ln>
          <a:effectLst/>
        </c:spPr>
        <c:marker>
          <c:symbol val="none"/>
        </c:marker>
      </c:pivotFmt>
      <c:pivotFmt>
        <c:idx val="66"/>
        <c:spPr>
          <a:solidFill>
            <a:schemeClr val="accent1"/>
          </a:solidFill>
          <a:ln w="28575" cap="rnd">
            <a:solidFill>
              <a:schemeClr val="accent1"/>
            </a:solidFill>
            <a:round/>
          </a:ln>
          <a:effectLst/>
        </c:spPr>
        <c:marker>
          <c:symbol val="none"/>
        </c:marker>
      </c:pivotFmt>
      <c:pivotFmt>
        <c:idx val="67"/>
        <c:spPr>
          <a:solidFill>
            <a:schemeClr val="accent1"/>
          </a:solidFill>
          <a:ln w="28575" cap="rnd">
            <a:solidFill>
              <a:schemeClr val="accent1"/>
            </a:solidFill>
            <a:round/>
          </a:ln>
          <a:effectLst/>
        </c:spPr>
        <c:marker>
          <c:symbol val="none"/>
        </c:marker>
      </c:pivotFmt>
      <c:pivotFmt>
        <c:idx val="68"/>
        <c:spPr>
          <a:solidFill>
            <a:schemeClr val="accent1"/>
          </a:solidFill>
          <a:ln w="28575" cap="rnd">
            <a:solidFill>
              <a:schemeClr val="accent1"/>
            </a:solidFill>
            <a:round/>
          </a:ln>
          <a:effectLst/>
        </c:spPr>
        <c:marker>
          <c:symbol val="none"/>
        </c:marker>
      </c:pivotFmt>
      <c:pivotFmt>
        <c:idx val="69"/>
        <c:spPr>
          <a:solidFill>
            <a:schemeClr val="accent1"/>
          </a:solidFill>
          <a:ln w="28575" cap="rnd">
            <a:solidFill>
              <a:schemeClr val="accent1"/>
            </a:solidFill>
            <a:round/>
          </a:ln>
          <a:effectLst/>
        </c:spPr>
        <c:marker>
          <c:symbol val="none"/>
        </c:marker>
      </c:pivotFmt>
      <c:pivotFmt>
        <c:idx val="70"/>
        <c:spPr>
          <a:solidFill>
            <a:schemeClr val="accent1"/>
          </a:solidFill>
          <a:ln w="28575" cap="rnd">
            <a:solidFill>
              <a:schemeClr val="accent1"/>
            </a:solidFill>
            <a:round/>
          </a:ln>
          <a:effectLst/>
        </c:spPr>
        <c:marker>
          <c:symbol val="none"/>
        </c:marker>
      </c:pivotFmt>
      <c:pivotFmt>
        <c:idx val="71"/>
        <c:spPr>
          <a:solidFill>
            <a:schemeClr val="accent1"/>
          </a:solidFill>
          <a:ln w="28575" cap="rnd">
            <a:solidFill>
              <a:schemeClr val="accent1"/>
            </a:solidFill>
            <a:round/>
          </a:ln>
          <a:effectLst/>
        </c:spPr>
        <c:marker>
          <c:symbol val="none"/>
        </c:marker>
      </c:pivotFmt>
      <c:pivotFmt>
        <c:idx val="72"/>
        <c:spPr>
          <a:solidFill>
            <a:schemeClr val="accent1"/>
          </a:solidFill>
          <a:ln w="28575" cap="rnd">
            <a:solidFill>
              <a:schemeClr val="accent1"/>
            </a:solidFill>
            <a:round/>
          </a:ln>
          <a:effectLst/>
        </c:spPr>
        <c:marker>
          <c:symbol val="none"/>
        </c:marker>
      </c:pivotFmt>
      <c:pivotFmt>
        <c:idx val="73"/>
        <c:spPr>
          <a:solidFill>
            <a:schemeClr val="accent1"/>
          </a:solidFill>
          <a:ln w="28575" cap="rnd">
            <a:solidFill>
              <a:schemeClr val="accent1"/>
            </a:solidFill>
            <a:round/>
          </a:ln>
          <a:effectLst/>
        </c:spPr>
        <c:marker>
          <c:symbol val="none"/>
        </c:marker>
      </c:pivotFmt>
      <c:pivotFmt>
        <c:idx val="74"/>
        <c:spPr>
          <a:solidFill>
            <a:schemeClr val="accent1"/>
          </a:solidFill>
          <a:ln w="28575" cap="rnd">
            <a:solidFill>
              <a:schemeClr val="accent1"/>
            </a:solidFill>
            <a:round/>
          </a:ln>
          <a:effectLst/>
        </c:spPr>
        <c:marker>
          <c:symbol val="none"/>
        </c:marker>
      </c:pivotFmt>
      <c:pivotFmt>
        <c:idx val="75"/>
        <c:spPr>
          <a:solidFill>
            <a:schemeClr val="accent1"/>
          </a:solidFill>
          <a:ln w="28575" cap="rnd">
            <a:solidFill>
              <a:schemeClr val="accent1"/>
            </a:solidFill>
            <a:round/>
          </a:ln>
          <a:effectLst/>
        </c:spPr>
        <c:marker>
          <c:symbol val="none"/>
        </c:marker>
      </c:pivotFmt>
      <c:pivotFmt>
        <c:idx val="76"/>
        <c:spPr>
          <a:solidFill>
            <a:schemeClr val="accent1"/>
          </a:solidFill>
          <a:ln w="28575" cap="rnd">
            <a:solidFill>
              <a:schemeClr val="accent1"/>
            </a:solidFill>
            <a:round/>
          </a:ln>
          <a:effectLst/>
        </c:spPr>
        <c:marker>
          <c:symbol val="none"/>
        </c:marker>
      </c:pivotFmt>
      <c:pivotFmt>
        <c:idx val="77"/>
        <c:spPr>
          <a:solidFill>
            <a:schemeClr val="accent1"/>
          </a:solidFill>
          <a:ln w="28575" cap="rnd">
            <a:solidFill>
              <a:schemeClr val="accent1"/>
            </a:solidFill>
            <a:round/>
          </a:ln>
          <a:effectLst/>
        </c:spPr>
        <c:marker>
          <c:symbol val="none"/>
        </c:marker>
      </c:pivotFmt>
      <c:pivotFmt>
        <c:idx val="78"/>
        <c:spPr>
          <a:solidFill>
            <a:schemeClr val="accent1"/>
          </a:solidFill>
          <a:ln w="28575" cap="rnd">
            <a:solidFill>
              <a:schemeClr val="accent1"/>
            </a:solidFill>
            <a:round/>
          </a:ln>
          <a:effectLst/>
        </c:spPr>
        <c:marker>
          <c:symbol val="none"/>
        </c:marker>
      </c:pivotFmt>
      <c:pivotFmt>
        <c:idx val="79"/>
        <c:spPr>
          <a:solidFill>
            <a:schemeClr val="accent1"/>
          </a:solidFill>
          <a:ln w="28575" cap="rnd">
            <a:solidFill>
              <a:schemeClr val="accent1"/>
            </a:solidFill>
            <a:round/>
          </a:ln>
          <a:effectLst/>
        </c:spPr>
        <c:marker>
          <c:symbol val="none"/>
        </c:marker>
      </c:pivotFmt>
      <c:pivotFmt>
        <c:idx val="80"/>
        <c:spPr>
          <a:solidFill>
            <a:schemeClr val="accent1"/>
          </a:solidFill>
          <a:ln w="28575" cap="rnd">
            <a:solidFill>
              <a:schemeClr val="accent1"/>
            </a:solidFill>
            <a:round/>
          </a:ln>
          <a:effectLst/>
        </c:spPr>
        <c:marker>
          <c:symbol val="none"/>
        </c:marker>
      </c:pivotFmt>
      <c:pivotFmt>
        <c:idx val="81"/>
        <c:spPr>
          <a:solidFill>
            <a:schemeClr val="accent1"/>
          </a:solidFill>
          <a:ln w="28575" cap="rnd">
            <a:solidFill>
              <a:schemeClr val="accent1"/>
            </a:solidFill>
            <a:round/>
          </a:ln>
          <a:effectLst/>
        </c:spPr>
        <c:marker>
          <c:symbol val="none"/>
        </c:marker>
      </c:pivotFmt>
      <c:pivotFmt>
        <c:idx val="82"/>
        <c:spPr>
          <a:solidFill>
            <a:schemeClr val="accent1"/>
          </a:solidFill>
          <a:ln w="28575" cap="rnd">
            <a:solidFill>
              <a:schemeClr val="accent1"/>
            </a:solidFill>
            <a:round/>
          </a:ln>
          <a:effectLst/>
        </c:spPr>
        <c:marker>
          <c:symbol val="none"/>
        </c:marker>
      </c:pivotFmt>
      <c:pivotFmt>
        <c:idx val="83"/>
        <c:spPr>
          <a:solidFill>
            <a:schemeClr val="accent1"/>
          </a:solidFill>
          <a:ln w="28575" cap="rnd">
            <a:solidFill>
              <a:schemeClr val="accent1"/>
            </a:solidFill>
            <a:round/>
          </a:ln>
          <a:effectLst/>
        </c:spPr>
        <c:marker>
          <c:symbol val="none"/>
        </c:marker>
      </c:pivotFmt>
      <c:pivotFmt>
        <c:idx val="84"/>
        <c:spPr>
          <a:solidFill>
            <a:schemeClr val="accent1"/>
          </a:solidFill>
          <a:ln w="28575" cap="rnd">
            <a:solidFill>
              <a:schemeClr val="accent1"/>
            </a:solidFill>
            <a:round/>
          </a:ln>
          <a:effectLst/>
        </c:spPr>
        <c:marker>
          <c:symbol val="none"/>
        </c:marker>
      </c:pivotFmt>
      <c:pivotFmt>
        <c:idx val="85"/>
        <c:spPr>
          <a:solidFill>
            <a:schemeClr val="accent1"/>
          </a:solidFill>
          <a:ln w="28575" cap="rnd">
            <a:solidFill>
              <a:schemeClr val="accent1"/>
            </a:solidFill>
            <a:round/>
          </a:ln>
          <a:effectLst/>
        </c:spPr>
        <c:marker>
          <c:symbol val="none"/>
        </c:marker>
      </c:pivotFmt>
      <c:pivotFmt>
        <c:idx val="86"/>
        <c:spPr>
          <a:solidFill>
            <a:schemeClr val="accent1"/>
          </a:solidFill>
          <a:ln w="28575" cap="rnd">
            <a:solidFill>
              <a:schemeClr val="accent1"/>
            </a:solidFill>
            <a:round/>
          </a:ln>
          <a:effectLst/>
        </c:spPr>
        <c:marker>
          <c:symbol val="none"/>
        </c:marker>
      </c:pivotFmt>
      <c:pivotFmt>
        <c:idx val="87"/>
        <c:spPr>
          <a:solidFill>
            <a:schemeClr val="accent1"/>
          </a:solidFill>
          <a:ln w="28575" cap="rnd">
            <a:solidFill>
              <a:schemeClr val="accent1"/>
            </a:solidFill>
            <a:round/>
          </a:ln>
          <a:effectLst/>
        </c:spPr>
        <c:marker>
          <c:symbol val="none"/>
        </c:marker>
      </c:pivotFmt>
      <c:pivotFmt>
        <c:idx val="88"/>
        <c:spPr>
          <a:solidFill>
            <a:schemeClr val="accent1"/>
          </a:solidFill>
          <a:ln w="28575" cap="rnd">
            <a:solidFill>
              <a:schemeClr val="accent1"/>
            </a:solidFill>
            <a:round/>
          </a:ln>
          <a:effectLst/>
        </c:spPr>
        <c:marker>
          <c:symbol val="none"/>
        </c:marker>
      </c:pivotFmt>
      <c:pivotFmt>
        <c:idx val="89"/>
        <c:spPr>
          <a:solidFill>
            <a:schemeClr val="accent1"/>
          </a:solidFill>
          <a:ln w="28575" cap="rnd">
            <a:solidFill>
              <a:schemeClr val="accent1"/>
            </a:solidFill>
            <a:round/>
          </a:ln>
          <a:effectLst/>
        </c:spPr>
        <c:marker>
          <c:symbol val="none"/>
        </c:marker>
      </c:pivotFmt>
      <c:pivotFmt>
        <c:idx val="90"/>
        <c:spPr>
          <a:solidFill>
            <a:schemeClr val="accent1"/>
          </a:solidFill>
          <a:ln w="28575" cap="rnd">
            <a:solidFill>
              <a:schemeClr val="accent1"/>
            </a:solidFill>
            <a:round/>
          </a:ln>
          <a:effectLst/>
        </c:spPr>
        <c:marker>
          <c:symbol val="none"/>
        </c:marker>
      </c:pivotFmt>
      <c:pivotFmt>
        <c:idx val="91"/>
        <c:spPr>
          <a:solidFill>
            <a:schemeClr val="accent1"/>
          </a:solidFill>
          <a:ln w="28575" cap="rnd">
            <a:solidFill>
              <a:schemeClr val="accent1"/>
            </a:solidFill>
            <a:round/>
          </a:ln>
          <a:effectLst/>
        </c:spPr>
        <c:marker>
          <c:symbol val="none"/>
        </c:marker>
      </c:pivotFmt>
      <c:pivotFmt>
        <c:idx val="92"/>
        <c:spPr>
          <a:solidFill>
            <a:schemeClr val="accent1"/>
          </a:solidFill>
          <a:ln w="28575" cap="rnd">
            <a:solidFill>
              <a:schemeClr val="accent1"/>
            </a:solidFill>
            <a:round/>
          </a:ln>
          <a:effectLst/>
        </c:spPr>
        <c:marker>
          <c:symbol val="none"/>
        </c:marker>
      </c:pivotFmt>
      <c:pivotFmt>
        <c:idx val="9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6"/>
        <c:spPr>
          <a:solidFill>
            <a:schemeClr val="accent1"/>
          </a:solidFill>
          <a:ln w="28575" cap="rnd">
            <a:solidFill>
              <a:schemeClr val="accent1"/>
            </a:solidFill>
            <a:round/>
          </a:ln>
          <a:effectLst/>
        </c:spPr>
        <c:marker>
          <c:symbol val="none"/>
        </c:marker>
      </c:pivotFmt>
      <c:pivotFmt>
        <c:idx val="9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8"/>
        <c:spPr>
          <a:solidFill>
            <a:schemeClr val="accent1"/>
          </a:solidFill>
          <a:ln w="28575" cap="rnd">
            <a:solidFill>
              <a:schemeClr val="tx1"/>
            </a:solidFill>
            <a:prstDash val="sysDot"/>
            <a:round/>
          </a:ln>
          <a:effectLst/>
        </c:spPr>
        <c:marker>
          <c:symbol val="none"/>
        </c:marker>
        <c:dLbl>
          <c:idx val="0"/>
          <c:delete val="1"/>
          <c:extLst>
            <c:ext xmlns:c15="http://schemas.microsoft.com/office/drawing/2012/chart" uri="{CE6537A1-D6FC-4f65-9D91-7224C49458BB}"/>
          </c:extLst>
        </c:dLbl>
      </c:pivotFmt>
      <c:pivotFmt>
        <c:idx val="99"/>
        <c:spPr>
          <a:solidFill>
            <a:schemeClr val="accent1"/>
          </a:solidFill>
          <a:ln w="28575" cap="rnd">
            <a:solidFill>
              <a:schemeClr val="accent1"/>
            </a:solidFill>
            <a:round/>
          </a:ln>
          <a:effectLst/>
        </c:spPr>
        <c:marker>
          <c:symbol val="none"/>
        </c:marker>
      </c:pivotFmt>
      <c:pivotFmt>
        <c:idx val="100"/>
        <c:spPr>
          <a:solidFill>
            <a:schemeClr val="accent1"/>
          </a:solidFill>
          <a:ln w="28575" cap="rnd">
            <a:solidFill>
              <a:schemeClr val="tx1"/>
            </a:solidFill>
            <a:prstDash val="sysDot"/>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9"/>
        <c:spPr>
          <a:solidFill>
            <a:schemeClr val="accent1"/>
          </a:solidFill>
          <a:ln w="28575" cap="rnd">
            <a:solidFill>
              <a:schemeClr val="accent1"/>
            </a:solidFill>
            <a:round/>
          </a:ln>
          <a:effectLst/>
        </c:spPr>
        <c:marker>
          <c:symbol val="none"/>
        </c:marker>
        <c:dLbl>
          <c:idx val="0"/>
          <c:layout>
            <c:manualLayout>
              <c:x val="-1.0876155376535919E-16"/>
              <c:y val="-2.738552594091251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11"/>
        <c:spPr>
          <a:solidFill>
            <a:schemeClr val="accent1"/>
          </a:solidFill>
          <a:ln w="28575" cap="rnd">
            <a:solidFill>
              <a:schemeClr val="accent1"/>
            </a:solidFill>
            <a:round/>
          </a:ln>
          <a:effectLst/>
        </c:spPr>
        <c:marker>
          <c:symbol val="none"/>
        </c:marker>
        <c:dLbl>
          <c:idx val="0"/>
          <c:layout>
            <c:manualLayout>
              <c:x val="-2.9662584596758103E-3"/>
              <c:y val="-3.765509816875475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18"/>
        <c:spPr>
          <a:solidFill>
            <a:schemeClr val="accent1"/>
          </a:solidFill>
          <a:ln w="28575" cap="rnd">
            <a:solidFill>
              <a:schemeClr val="accent1"/>
            </a:solidFill>
            <a:round/>
          </a:ln>
          <a:effectLst/>
        </c:spPr>
        <c:marker>
          <c:symbol val="none"/>
        </c:marker>
      </c:pivotFmt>
      <c:pivotFmt>
        <c:idx val="1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0"/>
        <c:spPr>
          <a:solidFill>
            <a:schemeClr val="accent1"/>
          </a:solidFill>
          <a:ln w="28575" cap="rnd">
            <a:solidFill>
              <a:schemeClr val="accent1"/>
            </a:solidFill>
            <a:round/>
          </a:ln>
          <a:effectLst/>
        </c:spPr>
        <c:marker>
          <c:symbol val="none"/>
        </c:marker>
        <c:dLbl>
          <c:idx val="0"/>
          <c:layout>
            <c:manualLayout>
              <c:x val="-1.1880514675651574E-16"/>
              <c:y val="1.711595371307030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2"/>
        <c:spPr>
          <a:solidFill>
            <a:schemeClr val="accent1"/>
          </a:solidFill>
          <a:ln w="28575" cap="rnd">
            <a:solidFill>
              <a:schemeClr val="accent1"/>
            </a:solidFill>
            <a:round/>
          </a:ln>
          <a:effectLst/>
        </c:spPr>
        <c:marker>
          <c:symbol val="none"/>
        </c:marker>
        <c:dLbl>
          <c:idx val="0"/>
          <c:layout>
            <c:manualLayout>
              <c:x val="-1.1880514675651574E-16"/>
              <c:y val="-1.026957222784222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6"/>
        <c:spPr>
          <a:solidFill>
            <a:schemeClr val="accent1"/>
          </a:solidFill>
          <a:ln w="28575" cap="rnd">
            <a:solidFill>
              <a:schemeClr val="accent5"/>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7"/>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8"/>
        <c:spPr>
          <a:solidFill>
            <a:schemeClr val="accent1"/>
          </a:solidFill>
          <a:ln w="28575" cap="rnd">
            <a:solidFill>
              <a:schemeClr val="tx1"/>
            </a:solidFill>
            <a:prstDash val="sysDot"/>
            <a:round/>
          </a:ln>
          <a:effectLst/>
        </c:spPr>
        <c:marker>
          <c:symbol val="none"/>
        </c:marker>
        <c:dLbl>
          <c:idx val="0"/>
          <c:delete val="1"/>
          <c:extLst>
            <c:ext xmlns:c15="http://schemas.microsoft.com/office/drawing/2012/chart" uri="{CE6537A1-D6FC-4f65-9D91-7224C49458BB}"/>
          </c:extLst>
        </c:dLbl>
      </c:pivotFmt>
      <c:pivotFmt>
        <c:idx val="129"/>
        <c:spPr>
          <a:solidFill>
            <a:schemeClr val="accent1"/>
          </a:solidFill>
          <a:ln w="28575" cap="rnd">
            <a:solidFill>
              <a:schemeClr val="tx1"/>
            </a:solidFill>
            <a:prstDash val="sysDot"/>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31"/>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33"/>
        <c:spPr>
          <a:solidFill>
            <a:schemeClr val="accent1"/>
          </a:solidFill>
          <a:ln w="28575" cap="rnd">
            <a:solidFill>
              <a:schemeClr val="accent3"/>
            </a:solidFill>
            <a:round/>
          </a:ln>
          <a:effectLst/>
        </c:spPr>
        <c:marker>
          <c:symbol val="none"/>
        </c:marker>
        <c:dLbl>
          <c:idx val="0"/>
          <c:layout>
            <c:manualLayout>
              <c:x val="-1.1880514675651574E-16"/>
              <c:y val="1.711595371307030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35"/>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37"/>
        <c:spPr>
          <a:solidFill>
            <a:schemeClr val="accent1"/>
          </a:solidFill>
          <a:ln w="28575" cap="rnd">
            <a:solidFill>
              <a:schemeClr val="accent5"/>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8"/>
        <c:spPr>
          <a:solidFill>
            <a:schemeClr val="accent1"/>
          </a:solidFill>
          <a:ln w="28575" cap="rnd">
            <a:solidFill>
              <a:schemeClr val="tx1"/>
            </a:solidFill>
            <a:prstDash val="sysDot"/>
            <a:round/>
          </a:ln>
          <a:effectLst/>
        </c:spPr>
        <c:marker>
          <c:symbol val="none"/>
        </c:marker>
        <c:dLbl>
          <c:idx val="0"/>
          <c:delete val="1"/>
          <c:extLst>
            <c:ext xmlns:c15="http://schemas.microsoft.com/office/drawing/2012/chart" uri="{CE6537A1-D6FC-4f65-9D91-7224C49458BB}"/>
          </c:extLst>
        </c:dLbl>
      </c:pivotFmt>
      <c:pivotFmt>
        <c:idx val="139"/>
        <c:spPr>
          <a:solidFill>
            <a:schemeClr val="accent1"/>
          </a:solidFill>
          <a:ln w="28575" cap="rnd">
            <a:solidFill>
              <a:schemeClr val="tx1"/>
            </a:solidFill>
            <a:prstDash val="sysDot"/>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4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1"/>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4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3"/>
        <c:spPr>
          <a:solidFill>
            <a:schemeClr val="accent1"/>
          </a:solidFill>
          <a:ln w="28575" cap="rnd">
            <a:solidFill>
              <a:schemeClr val="accent3"/>
            </a:solidFill>
            <a:round/>
          </a:ln>
          <a:effectLst/>
        </c:spPr>
        <c:marker>
          <c:symbol val="none"/>
        </c:marker>
        <c:dLbl>
          <c:idx val="0"/>
          <c:layout>
            <c:manualLayout>
              <c:x val="-1.1880514675651574E-16"/>
              <c:y val="1.711595371307030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4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5"/>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4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7"/>
        <c:spPr>
          <a:solidFill>
            <a:schemeClr val="accent1"/>
          </a:solidFill>
          <a:ln w="28575" cap="rnd">
            <a:solidFill>
              <a:schemeClr val="accent5"/>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s>
    <c:plotArea>
      <c:layout>
        <c:manualLayout>
          <c:layoutTarget val="inner"/>
          <c:xMode val="edge"/>
          <c:yMode val="edge"/>
          <c:x val="8.3437047630126465E-2"/>
          <c:y val="3.3780693150303145E-2"/>
          <c:w val="0.83383707448751754"/>
          <c:h val="0.86038071810994587"/>
        </c:manualLayout>
      </c:layout>
      <c:lineChart>
        <c:grouping val="standard"/>
        <c:ser>
          <c:idx val="0"/>
          <c:order val="0"/>
          <c:tx>
            <c:strRef>
              <c:f>'Vekst privat region'!$M$1:$M$2</c:f>
              <c:strCache>
                <c:ptCount val="1"/>
                <c:pt idx="0">
                  <c:v>Norge</c:v>
                </c:pt>
              </c:strCache>
            </c:strRef>
          </c:tx>
          <c:spPr>
            <a:ln w="28575" cap="rnd">
              <a:solidFill>
                <a:schemeClr val="tx1"/>
              </a:solidFill>
              <a:prstDash val="sysDot"/>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'Vekst privat region'!$L$3:$L$16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'Vekst privat region'!$M$3:$M$16</c:f>
              <c:numCache>
                <c:formatCode>#,##0.0</c:formatCode>
                <c:ptCount val="14"/>
                <c:pt idx="0">
                  <c:v>100</c:v>
                </c:pt>
                <c:pt idx="1">
                  <c:v>100.82055115958367</c:v>
                </c:pt>
                <c:pt idx="2">
                  <c:v>100.16296682550801</c:v>
                </c:pt>
                <c:pt idx="3">
                  <c:v>98.727489186328128</c:v>
                </c:pt>
                <c:pt idx="4">
                  <c:v>99.436652457852603</c:v>
                </c:pt>
                <c:pt idx="5">
                  <c:v>101.63186711355841</c:v>
                </c:pt>
                <c:pt idx="6">
                  <c:v>105.97530367806198</c:v>
                </c:pt>
                <c:pt idx="7">
                  <c:v>111.35226655190719</c:v>
                </c:pt>
                <c:pt idx="8">
                  <c:v>113.40392716124234</c:v>
                </c:pt>
                <c:pt idx="9">
                  <c:v>110.40619198547499</c:v>
                </c:pt>
                <c:pt idx="10">
                  <c:v>110.76334942688324</c:v>
                </c:pt>
                <c:pt idx="11">
                  <c:v>112.53286508118498</c:v>
                </c:pt>
                <c:pt idx="12">
                  <c:v>113.85123780026196</c:v>
                </c:pt>
                <c:pt idx="13">
                  <c:v>114.63685852230425</c:v>
                </c:pt>
              </c:numCache>
            </c:numRef>
          </c:val>
        </c:ser>
        <c:ser>
          <c:idx val="1"/>
          <c:order val="1"/>
          <c:tx>
            <c:strRef>
              <c:f>'Vekst privat region'!$N$1:$N$2</c:f>
              <c:strCache>
                <c:ptCount val="1"/>
                <c:pt idx="0">
                  <c:v>Indre Østfold</c:v>
                </c:pt>
              </c:strCache>
            </c:strRef>
          </c:tx>
          <c:spPr>
            <a:ln w="28575" cap="rnd">
              <a:solidFill>
                <a:schemeClr val="accent2"/>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'Vekst privat region'!$L$3:$L$16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'Vekst privat region'!$N$3:$N$16</c:f>
              <c:numCache>
                <c:formatCode>#,##0.0</c:formatCode>
                <c:ptCount val="14"/>
                <c:pt idx="0">
                  <c:v>100</c:v>
                </c:pt>
                <c:pt idx="1">
                  <c:v>101.20437416876015</c:v>
                </c:pt>
                <c:pt idx="2">
                  <c:v>100.81276784394858</c:v>
                </c:pt>
                <c:pt idx="3">
                  <c:v>102.32747155312541</c:v>
                </c:pt>
                <c:pt idx="4">
                  <c:v>105.60070932466378</c:v>
                </c:pt>
                <c:pt idx="5">
                  <c:v>107.81734889906899</c:v>
                </c:pt>
                <c:pt idx="6">
                  <c:v>110.8689227131668</c:v>
                </c:pt>
                <c:pt idx="7">
                  <c:v>114.79976355844539</c:v>
                </c:pt>
                <c:pt idx="8">
                  <c:v>118.05083493423966</c:v>
                </c:pt>
                <c:pt idx="9">
                  <c:v>115.33175705630265</c:v>
                </c:pt>
                <c:pt idx="10">
                  <c:v>113.86877493719518</c:v>
                </c:pt>
                <c:pt idx="11">
                  <c:v>113.49933500812767</c:v>
                </c:pt>
                <c:pt idx="12">
                  <c:v>111.26052903797846</c:v>
                </c:pt>
                <c:pt idx="13">
                  <c:v>110.29259642382148</c:v>
                </c:pt>
              </c:numCache>
            </c:numRef>
          </c:val>
        </c:ser>
        <c:ser>
          <c:idx val="2"/>
          <c:order val="2"/>
          <c:tx>
            <c:strRef>
              <c:f>'Vekst privat region'!$O$1:$O$2</c:f>
              <c:strCache>
                <c:ptCount val="1"/>
                <c:pt idx="0">
                  <c:v>Øvre Romerike</c:v>
                </c:pt>
              </c:strCache>
            </c:strRef>
          </c:tx>
          <c:spPr>
            <a:ln w="28575" cap="rnd">
              <a:solidFill>
                <a:schemeClr val="accent3"/>
              </a:solidFill>
              <a:round/>
            </a:ln>
            <a:effectLst/>
          </c:spPr>
          <c:marker>
            <c:symbol val="none"/>
          </c:marker>
          <c:dLbls>
            <c:dLbl>
              <c:idx val="13"/>
              <c:layout>
                <c:manualLayout>
                  <c:x val="-1.1880514675651574E-16"/>
                  <c:y val="1.7115953713070307E-2"/>
                </c:manualLayout>
              </c:layout>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'Vekst privat region'!$L$3:$L$16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'Vekst privat region'!$O$3:$O$16</c:f>
              <c:numCache>
                <c:formatCode>#,##0.0</c:formatCode>
                <c:ptCount val="14"/>
                <c:pt idx="0">
                  <c:v>100</c:v>
                </c:pt>
                <c:pt idx="1">
                  <c:v>106.59827656955271</c:v>
                </c:pt>
                <c:pt idx="2">
                  <c:v>103.78744357816988</c:v>
                </c:pt>
                <c:pt idx="3">
                  <c:v>102.63028313500206</c:v>
                </c:pt>
                <c:pt idx="4">
                  <c:v>103.95568321707017</c:v>
                </c:pt>
                <c:pt idx="5">
                  <c:v>107.88674599917933</c:v>
                </c:pt>
                <c:pt idx="6">
                  <c:v>110.24620434961024</c:v>
                </c:pt>
                <c:pt idx="7">
                  <c:v>115.46983996717279</c:v>
                </c:pt>
                <c:pt idx="8">
                  <c:v>121.73984407057858</c:v>
                </c:pt>
                <c:pt idx="9">
                  <c:v>119.28600738613048</c:v>
                </c:pt>
                <c:pt idx="10">
                  <c:v>118.01395157981126</c:v>
                </c:pt>
                <c:pt idx="11">
                  <c:v>122.92162494870749</c:v>
                </c:pt>
                <c:pt idx="12">
                  <c:v>125.22773902338939</c:v>
                </c:pt>
                <c:pt idx="13">
                  <c:v>127.11530570373405</c:v>
                </c:pt>
              </c:numCache>
            </c:numRef>
          </c:val>
        </c:ser>
        <c:ser>
          <c:idx val="3"/>
          <c:order val="3"/>
          <c:tx>
            <c:strRef>
              <c:f>'Vekst privat region'!$P$1:$P$2</c:f>
              <c:strCache>
                <c:ptCount val="1"/>
                <c:pt idx="0">
                  <c:v>Glåmdal</c:v>
                </c:pt>
              </c:strCache>
            </c:strRef>
          </c:tx>
          <c:spPr>
            <a:ln w="28575" cap="rnd">
              <a:solidFill>
                <a:schemeClr val="accent4"/>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'Vekst privat region'!$L$3:$L$16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'Vekst privat region'!$P$3:$P$16</c:f>
              <c:numCache>
                <c:formatCode>#,##0.0</c:formatCode>
                <c:ptCount val="14"/>
                <c:pt idx="0">
                  <c:v>100</c:v>
                </c:pt>
                <c:pt idx="1">
                  <c:v>99.977903807910437</c:v>
                </c:pt>
                <c:pt idx="2">
                  <c:v>98.313324003830004</c:v>
                </c:pt>
                <c:pt idx="3">
                  <c:v>97.679899830595815</c:v>
                </c:pt>
                <c:pt idx="4">
                  <c:v>98.703690064078984</c:v>
                </c:pt>
                <c:pt idx="5">
                  <c:v>99.683287913382884</c:v>
                </c:pt>
                <c:pt idx="6">
                  <c:v>102.91669735582236</c:v>
                </c:pt>
                <c:pt idx="7">
                  <c:v>104.68439272298738</c:v>
                </c:pt>
                <c:pt idx="8">
                  <c:v>106.69514620313765</c:v>
                </c:pt>
                <c:pt idx="9">
                  <c:v>100.23569271562201</c:v>
                </c:pt>
                <c:pt idx="10">
                  <c:v>97.591515062237647</c:v>
                </c:pt>
                <c:pt idx="11">
                  <c:v>96.52353244457538</c:v>
                </c:pt>
                <c:pt idx="12">
                  <c:v>97.142225823083152</c:v>
                </c:pt>
                <c:pt idx="13">
                  <c:v>94.881048832584426</c:v>
                </c:pt>
              </c:numCache>
            </c:numRef>
          </c:val>
        </c:ser>
        <c:ser>
          <c:idx val="4"/>
          <c:order val="4"/>
          <c:tx>
            <c:strRef>
              <c:f>'Vekst privat region'!$Q$1:$Q$2</c:f>
              <c:strCache>
                <c:ptCount val="1"/>
                <c:pt idx="0">
                  <c:v>Hamarregionen</c:v>
                </c:pt>
              </c:strCache>
            </c:strRef>
          </c:tx>
          <c:spPr>
            <a:ln w="28575" cap="rnd">
              <a:solidFill>
                <a:schemeClr val="accent5"/>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'Vekst privat region'!$L$3:$L$16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'Vekst privat region'!$Q$3:$Q$16</c:f>
              <c:numCache>
                <c:formatCode>#,##0.0</c:formatCode>
                <c:ptCount val="14"/>
                <c:pt idx="0">
                  <c:v>100</c:v>
                </c:pt>
                <c:pt idx="1">
                  <c:v>99.726164763961734</c:v>
                </c:pt>
                <c:pt idx="2">
                  <c:v>101.56587473002156</c:v>
                </c:pt>
                <c:pt idx="3">
                  <c:v>100.62480715828443</c:v>
                </c:pt>
                <c:pt idx="4">
                  <c:v>100.49367479173098</c:v>
                </c:pt>
                <c:pt idx="5">
                  <c:v>99.325053995680349</c:v>
                </c:pt>
                <c:pt idx="6">
                  <c:v>103.27059549521755</c:v>
                </c:pt>
                <c:pt idx="7">
                  <c:v>107.63653193458804</c:v>
                </c:pt>
                <c:pt idx="8">
                  <c:v>108.28833693304533</c:v>
                </c:pt>
                <c:pt idx="9">
                  <c:v>102.97747608762728</c:v>
                </c:pt>
                <c:pt idx="10">
                  <c:v>102.60336315951865</c:v>
                </c:pt>
                <c:pt idx="11">
                  <c:v>102.97747608762728</c:v>
                </c:pt>
                <c:pt idx="12">
                  <c:v>104.57420549213208</c:v>
                </c:pt>
                <c:pt idx="13">
                  <c:v>104.82104288799754</c:v>
                </c:pt>
              </c:numCache>
            </c:numRef>
          </c:val>
        </c:ser>
        <c:marker val="1"/>
        <c:axId val="235765760"/>
        <c:axId val="235767296"/>
      </c:lineChart>
      <c:catAx>
        <c:axId val="2357657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35767296"/>
        <c:crosses val="autoZero"/>
        <c:auto val="1"/>
        <c:lblAlgn val="ctr"/>
        <c:lblOffset val="100"/>
      </c:catAx>
      <c:valAx>
        <c:axId val="235767296"/>
        <c:scaling>
          <c:orientation val="minMax"/>
          <c:min val="90"/>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35765760"/>
        <c:crosses val="autoZero"/>
        <c:crossBetween val="between"/>
      </c:valAx>
      <c:spPr>
        <a:noFill/>
        <a:ln>
          <a:noFill/>
        </a:ln>
        <a:effectLst/>
      </c:spPr>
    </c:plotArea>
    <c:legend>
      <c:legendPos val="t"/>
      <c:layout>
        <c:manualLayout>
          <c:xMode val="edge"/>
          <c:yMode val="edge"/>
          <c:x val="9.5722094748367847E-2"/>
          <c:y val="4.7924670396596876E-2"/>
          <c:w val="0.40942237131072923"/>
          <c:h val="0.3003049147158494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pivotSource>
    <c:name>[Glåmdal grunnmur.xlsx]Næringstyper kake!Næringstyper kake</c:name>
    <c:fmtId val="43"/>
  </c:pivotSource>
  <c:chart>
    <c:autoTitleDeleted val="1"/>
    <c:pivotFmts>
      <c:pivotFmt>
        <c:idx val="0"/>
        <c:spPr>
          <a:solidFill>
            <a:schemeClr val="accent1"/>
          </a:solidFill>
          <a:ln w="19050">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inEnd"/>
          <c:showVal val="1"/>
          <c:showCatName val="1"/>
          <c:showPercent val="1"/>
          <c:separator>
</c:separator>
          <c:extLst>
            <c:ext xmlns:c15="http://schemas.microsoft.com/office/drawing/2012/chart" uri="{CE6537A1-D6FC-4f65-9D91-7224C49458BB}"/>
          </c:extLst>
        </c:dLbl>
      </c:pivotFmt>
      <c:pivotFmt>
        <c:idx val="1"/>
        <c:spPr>
          <a:solidFill>
            <a:srgbClr val="C00000"/>
          </a:solidFill>
          <a:ln w="19050">
            <a:noFill/>
          </a:ln>
          <a:effectLst/>
        </c:spPr>
      </c:pivotFmt>
      <c:pivotFmt>
        <c:idx val="2"/>
        <c:spPr>
          <a:solidFill>
            <a:srgbClr val="00B050"/>
          </a:solidFill>
          <a:ln w="19050">
            <a:noFill/>
          </a:ln>
          <a:effectLst/>
        </c:spPr>
        <c:dLbl>
          <c:idx val="0"/>
          <c:layout>
            <c:manualLayout>
              <c:x val="-8.3767830651603523E-2"/>
              <c:y val="1.2285029785214265E-3"/>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bestFit"/>
          <c:showVal val="1"/>
          <c:showCatName val="1"/>
          <c:showPercent val="1"/>
          <c:separator>
</c:separator>
          <c:extLst>
            <c:ext xmlns:c15="http://schemas.microsoft.com/office/drawing/2012/chart" uri="{CE6537A1-D6FC-4f65-9D91-7224C49458BB}"/>
          </c:extLst>
        </c:dLbl>
      </c:pivotFmt>
      <c:pivotFmt>
        <c:idx val="3"/>
        <c:spPr>
          <a:solidFill>
            <a:srgbClr val="FAC08F">
              <a:lumMod val="75000"/>
            </a:srgbClr>
          </a:solidFill>
          <a:ln w="19050">
            <a:noFill/>
          </a:ln>
          <a:effectLst/>
        </c:spPr>
        <c:dLbl>
          <c:idx val="0"/>
          <c:layout>
            <c:manualLayout>
              <c:x val="0.14006162273194114"/>
              <c:y val="0.15452214168639392"/>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bestFit"/>
          <c:showVal val="1"/>
          <c:showCatName val="1"/>
          <c:showPercent val="1"/>
          <c:separator>
</c:separator>
          <c:extLst>
            <c:ext xmlns:c15="http://schemas.microsoft.com/office/drawing/2012/chart" uri="{CE6537A1-D6FC-4f65-9D91-7224C49458BB}"/>
          </c:extLst>
        </c:dLbl>
      </c:pivotFmt>
      <c:pivotFmt>
        <c:idx val="4"/>
        <c:spPr>
          <a:solidFill>
            <a:srgbClr val="8064A2"/>
          </a:solidFill>
          <a:ln w="19050">
            <a:noFill/>
          </a:ln>
          <a:effectLst/>
        </c:spPr>
        <c:dLbl>
          <c:idx val="0"/>
          <c:layout>
            <c:manualLayout>
              <c:x val="9.4275362318840691E-2"/>
              <c:y val="8.0006541379496095E-3"/>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bestFit"/>
          <c:showVal val="1"/>
          <c:showCatName val="1"/>
          <c:showPercent val="1"/>
          <c:separator>
</c:separator>
          <c:extLst>
            <c:ext xmlns:c15="http://schemas.microsoft.com/office/drawing/2012/chart" uri="{CE6537A1-D6FC-4f65-9D91-7224C49458BB}"/>
          </c:extLst>
        </c:dLbl>
      </c:pivotFmt>
      <c:pivotFmt>
        <c:idx val="5"/>
        <c:spPr>
          <a:solidFill>
            <a:srgbClr val="4F81BD"/>
          </a:solidFill>
          <a:ln w="19050">
            <a:noFill/>
          </a:ln>
          <a:effectLst/>
        </c:spPr>
        <c:dLbl>
          <c:idx val="0"/>
          <c:layout>
            <c:manualLayout>
              <c:x val="-3.6126611890904943E-2"/>
              <c:y val="-0.12037135434191189"/>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bestFit"/>
          <c:showVal val="1"/>
          <c:showCatName val="1"/>
          <c:showPercent val="1"/>
          <c:separator>
</c:separator>
          <c:extLst>
            <c:ext xmlns:c15="http://schemas.microsoft.com/office/drawing/2012/chart" uri="{CE6537A1-D6FC-4f65-9D91-7224C49458BB}"/>
          </c:extLst>
        </c:dLbl>
      </c:pivotFmt>
      <c:pivotFmt>
        <c:idx val="6"/>
        <c:spPr>
          <a:solidFill>
            <a:schemeClr val="accent1"/>
          </a:solidFill>
          <a:ln w="19050">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inEnd"/>
          <c:showVal val="1"/>
          <c:showCatName val="1"/>
          <c:showPercent val="1"/>
          <c:separator>
</c:separator>
          <c:extLst>
            <c:ext xmlns:c15="http://schemas.microsoft.com/office/drawing/2012/chart" uri="{CE6537A1-D6FC-4f65-9D91-7224C49458BB}"/>
          </c:extLst>
        </c:dLbl>
      </c:pivotFmt>
      <c:pivotFmt>
        <c:idx val="7"/>
        <c:spPr>
          <a:solidFill>
            <a:srgbClr val="C00000"/>
          </a:solidFill>
          <a:ln w="19050">
            <a:noFill/>
          </a:ln>
          <a:effectLst/>
        </c:spPr>
      </c:pivotFmt>
      <c:pivotFmt>
        <c:idx val="8"/>
        <c:spPr>
          <a:solidFill>
            <a:srgbClr val="00B050"/>
          </a:solidFill>
          <a:ln w="19050">
            <a:noFill/>
          </a:ln>
          <a:effectLst/>
        </c:spPr>
        <c:dLbl>
          <c:idx val="0"/>
          <c:layout>
            <c:manualLayout>
              <c:x val="-8.3767830651603523E-2"/>
              <c:y val="1.2285029785214265E-3"/>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bestFit"/>
          <c:showVal val="1"/>
          <c:showCatName val="1"/>
          <c:showPercent val="1"/>
          <c:separator>
</c:separator>
          <c:extLst>
            <c:ext xmlns:c15="http://schemas.microsoft.com/office/drawing/2012/chart" uri="{CE6537A1-D6FC-4f65-9D91-7224C49458BB}"/>
          </c:extLst>
        </c:dLbl>
      </c:pivotFmt>
      <c:pivotFmt>
        <c:idx val="9"/>
        <c:spPr>
          <a:solidFill>
            <a:srgbClr val="4F81BD"/>
          </a:solidFill>
          <a:ln w="19050">
            <a:noFill/>
          </a:ln>
          <a:effectLst/>
        </c:spPr>
        <c:dLbl>
          <c:idx val="0"/>
          <c:layout>
            <c:manualLayout>
              <c:x val="-3.6126611890904943E-2"/>
              <c:y val="-0.12037135434191189"/>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bestFit"/>
          <c:showVal val="1"/>
          <c:showCatName val="1"/>
          <c:showPercent val="1"/>
          <c:separator>
</c:separator>
          <c:extLst>
            <c:ext xmlns:c15="http://schemas.microsoft.com/office/drawing/2012/chart" uri="{CE6537A1-D6FC-4f65-9D91-7224C49458BB}"/>
          </c:extLst>
        </c:dLbl>
      </c:pivotFmt>
      <c:pivotFmt>
        <c:idx val="10"/>
        <c:spPr>
          <a:solidFill>
            <a:srgbClr val="8064A2"/>
          </a:solidFill>
          <a:ln w="19050">
            <a:noFill/>
          </a:ln>
          <a:effectLst/>
        </c:spPr>
        <c:dLbl>
          <c:idx val="0"/>
          <c:layout>
            <c:manualLayout>
              <c:x val="9.4275362318840691E-2"/>
              <c:y val="8.0006541379496095E-3"/>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bestFit"/>
          <c:showVal val="1"/>
          <c:showCatName val="1"/>
          <c:showPercent val="1"/>
          <c:separator>
</c:separator>
          <c:extLst>
            <c:ext xmlns:c15="http://schemas.microsoft.com/office/drawing/2012/chart" uri="{CE6537A1-D6FC-4f65-9D91-7224C49458BB}"/>
          </c:extLst>
        </c:dLbl>
      </c:pivotFmt>
      <c:pivotFmt>
        <c:idx val="11"/>
        <c:spPr>
          <a:solidFill>
            <a:srgbClr val="FAC08F">
              <a:lumMod val="75000"/>
            </a:srgbClr>
          </a:solidFill>
          <a:ln w="19050">
            <a:noFill/>
          </a:ln>
          <a:effectLst/>
        </c:spPr>
        <c:dLbl>
          <c:idx val="0"/>
          <c:layout>
            <c:manualLayout>
              <c:x val="0.14006162273194114"/>
              <c:y val="0.15452214168639392"/>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bestFit"/>
          <c:showVal val="1"/>
          <c:showCatName val="1"/>
          <c:showPercent val="1"/>
          <c:separator>
</c:separator>
          <c:extLst>
            <c:ext xmlns:c15="http://schemas.microsoft.com/office/drawing/2012/chart" uri="{CE6537A1-D6FC-4f65-9D91-7224C49458BB}"/>
          </c:extLst>
        </c:dLbl>
      </c:pivotFmt>
      <c:pivotFmt>
        <c:idx val="12"/>
        <c:spPr>
          <a:solidFill>
            <a:schemeClr val="accent1"/>
          </a:solidFill>
          <a:ln w="19050">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inEnd"/>
          <c:showVal val="1"/>
          <c:showCatName val="1"/>
          <c:showPercent val="1"/>
          <c:separator>
</c:separator>
          <c:extLst>
            <c:ext xmlns:c15="http://schemas.microsoft.com/office/drawing/2012/chart" uri="{CE6537A1-D6FC-4f65-9D91-7224C49458BB}"/>
          </c:extLst>
        </c:dLbl>
      </c:pivotFmt>
      <c:pivotFmt>
        <c:idx val="13"/>
        <c:spPr>
          <a:solidFill>
            <a:srgbClr val="C00000"/>
          </a:solidFill>
          <a:ln w="19050">
            <a:noFill/>
          </a:ln>
          <a:effectLst/>
        </c:spPr>
      </c:pivotFmt>
      <c:pivotFmt>
        <c:idx val="14"/>
        <c:spPr>
          <a:solidFill>
            <a:srgbClr val="00B050"/>
          </a:solidFill>
          <a:ln w="19050">
            <a:noFill/>
          </a:ln>
          <a:effectLst/>
        </c:spPr>
        <c:dLbl>
          <c:idx val="0"/>
          <c:layout>
            <c:manualLayout>
              <c:x val="-8.3767830651603523E-2"/>
              <c:y val="1.2285029785214265E-3"/>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bestFit"/>
          <c:showVal val="1"/>
          <c:showCatName val="1"/>
          <c:showPercent val="1"/>
          <c:separator>
</c:separator>
          <c:extLst>
            <c:ext xmlns:c15="http://schemas.microsoft.com/office/drawing/2012/chart" uri="{CE6537A1-D6FC-4f65-9D91-7224C49458BB}"/>
          </c:extLst>
        </c:dLbl>
      </c:pivotFmt>
      <c:pivotFmt>
        <c:idx val="15"/>
        <c:spPr>
          <a:solidFill>
            <a:srgbClr val="4F81BD"/>
          </a:solidFill>
          <a:ln w="19050">
            <a:noFill/>
          </a:ln>
          <a:effectLst/>
        </c:spPr>
        <c:dLbl>
          <c:idx val="0"/>
          <c:layout>
            <c:manualLayout>
              <c:x val="-3.6126611890904943E-2"/>
              <c:y val="-0.12037135434191189"/>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bestFit"/>
          <c:showVal val="1"/>
          <c:showCatName val="1"/>
          <c:showPercent val="1"/>
          <c:separator>
</c:separator>
          <c:extLst>
            <c:ext xmlns:c15="http://schemas.microsoft.com/office/drawing/2012/chart" uri="{CE6537A1-D6FC-4f65-9D91-7224C49458BB}"/>
          </c:extLst>
        </c:dLbl>
      </c:pivotFmt>
      <c:pivotFmt>
        <c:idx val="16"/>
        <c:spPr>
          <a:solidFill>
            <a:srgbClr val="8064A2"/>
          </a:solidFill>
          <a:ln w="19050">
            <a:noFill/>
          </a:ln>
          <a:effectLst/>
        </c:spPr>
        <c:dLbl>
          <c:idx val="0"/>
          <c:layout>
            <c:manualLayout>
              <c:x val="9.4275362318840691E-2"/>
              <c:y val="8.0006541379496095E-3"/>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bestFit"/>
          <c:showVal val="1"/>
          <c:showCatName val="1"/>
          <c:showPercent val="1"/>
          <c:separator>
</c:separator>
          <c:extLst>
            <c:ext xmlns:c15="http://schemas.microsoft.com/office/drawing/2012/chart" uri="{CE6537A1-D6FC-4f65-9D91-7224C49458BB}"/>
          </c:extLst>
        </c:dLbl>
      </c:pivotFmt>
      <c:pivotFmt>
        <c:idx val="17"/>
        <c:spPr>
          <a:solidFill>
            <a:srgbClr val="FAC08F">
              <a:lumMod val="75000"/>
            </a:srgbClr>
          </a:solidFill>
          <a:ln w="19050">
            <a:noFill/>
          </a:ln>
          <a:effectLst/>
        </c:spPr>
        <c:dLbl>
          <c:idx val="0"/>
          <c:layout>
            <c:manualLayout>
              <c:x val="0.14006162273194114"/>
              <c:y val="0.15452214168639392"/>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bestFit"/>
          <c:showVal val="1"/>
          <c:showCatName val="1"/>
          <c:showPercent val="1"/>
          <c:separator>
</c:separator>
          <c:extLst>
            <c:ext xmlns:c15="http://schemas.microsoft.com/office/drawing/2012/chart" uri="{CE6537A1-D6FC-4f65-9D91-7224C49458BB}"/>
          </c:extLst>
        </c:dLbl>
      </c:pivotFmt>
    </c:pivotFmts>
    <c:plotArea>
      <c:layout>
        <c:manualLayout>
          <c:layoutTarget val="inner"/>
          <c:xMode val="edge"/>
          <c:yMode val="edge"/>
          <c:x val="1.4055872326304042E-2"/>
          <c:y val="6.6912671159211706E-2"/>
          <c:w val="0.97473346004163253"/>
          <c:h val="0.92050799395891059"/>
        </c:manualLayout>
      </c:layout>
      <c:pieChart>
        <c:varyColors val="1"/>
        <c:ser>
          <c:idx val="0"/>
          <c:order val="0"/>
          <c:tx>
            <c:strRef>
              <c:f>'Næringstyper kake'!$F$17</c:f>
              <c:strCache>
                <c:ptCount val="1"/>
                <c:pt idx="0">
                  <c:v>Totalt</c:v>
                </c:pt>
              </c:strCache>
            </c:strRef>
          </c:tx>
          <c:spPr>
            <a:ln>
              <a:noFill/>
            </a:ln>
          </c:spPr>
          <c:dPt>
            <c:idx val="0"/>
            <c:spPr>
              <a:solidFill>
                <a:srgbClr val="C00000"/>
              </a:solidFill>
              <a:ln w="19050">
                <a:noFill/>
              </a:ln>
              <a:effectLst/>
            </c:spPr>
          </c:dPt>
          <c:dPt>
            <c:idx val="1"/>
            <c:spPr>
              <a:solidFill>
                <a:srgbClr val="00B050"/>
              </a:solidFill>
              <a:ln w="19050">
                <a:noFill/>
              </a:ln>
              <a:effectLst/>
            </c:spPr>
          </c:dPt>
          <c:dPt>
            <c:idx val="2"/>
            <c:spPr>
              <a:solidFill>
                <a:srgbClr val="4F81BD"/>
              </a:solidFill>
              <a:ln w="19050">
                <a:noFill/>
              </a:ln>
              <a:effectLst/>
            </c:spPr>
          </c:dPt>
          <c:dPt>
            <c:idx val="3"/>
            <c:spPr>
              <a:solidFill>
                <a:srgbClr val="8064A2"/>
              </a:solidFill>
              <a:ln w="19050">
                <a:noFill/>
              </a:ln>
              <a:effectLst/>
            </c:spPr>
          </c:dPt>
          <c:dPt>
            <c:idx val="4"/>
            <c:spPr>
              <a:solidFill>
                <a:srgbClr val="FAC08F">
                  <a:lumMod val="75000"/>
                </a:srgbClr>
              </a:solidFill>
              <a:ln w="19050">
                <a:noFill/>
              </a:ln>
              <a:effectLst/>
            </c:spPr>
          </c:dPt>
          <c:dLbls>
            <c:dLbl>
              <c:idx val="1"/>
              <c:layout>
                <c:manualLayout>
                  <c:x val="-8.3767830651603523E-2"/>
                  <c:y val="1.2285029785214265E-3"/>
                </c:manualLayout>
              </c:layout>
              <c:dLblPos val="bestFit"/>
              <c:showVal val="1"/>
              <c:showCatName val="1"/>
              <c:showPercent val="1"/>
              <c:separator>
</c:separator>
              <c:extLst>
                <c:ext xmlns:c15="http://schemas.microsoft.com/office/drawing/2012/chart" uri="{CE6537A1-D6FC-4f65-9D91-7224C49458BB}">
                  <c15:layout/>
                </c:ext>
              </c:extLst>
            </c:dLbl>
            <c:dLbl>
              <c:idx val="2"/>
              <c:layout>
                <c:manualLayout>
                  <c:x val="-3.6126611890904943E-2"/>
                  <c:y val="-0.12037135434191189"/>
                </c:manualLayout>
              </c:layout>
              <c:dLblPos val="bestFit"/>
              <c:showVal val="1"/>
              <c:showCatName val="1"/>
              <c:showPercent val="1"/>
              <c:separator>
</c:separator>
              <c:extLst>
                <c:ext xmlns:c15="http://schemas.microsoft.com/office/drawing/2012/chart" uri="{CE6537A1-D6FC-4f65-9D91-7224C49458BB}">
                  <c15:layout/>
                </c:ext>
              </c:extLst>
            </c:dLbl>
            <c:dLbl>
              <c:idx val="3"/>
              <c:layout>
                <c:manualLayout>
                  <c:x val="9.4275362318840691E-2"/>
                  <c:y val="8.0006541379496095E-3"/>
                </c:manualLayout>
              </c:layout>
              <c:dLblPos val="bestFit"/>
              <c:showVal val="1"/>
              <c:showCatName val="1"/>
              <c:showPercent val="1"/>
              <c:separator>
</c:separator>
              <c:extLst>
                <c:ext xmlns:c15="http://schemas.microsoft.com/office/drawing/2012/chart" uri="{CE6537A1-D6FC-4f65-9D91-7224C49458BB}">
                  <c15:layout/>
                </c:ext>
              </c:extLst>
            </c:dLbl>
            <c:dLbl>
              <c:idx val="4"/>
              <c:layout>
                <c:manualLayout>
                  <c:x val="0.14006162273194114"/>
                  <c:y val="0.15452214168639392"/>
                </c:manualLayout>
              </c:layout>
              <c:dLblPos val="bestFit"/>
              <c:showVal val="1"/>
              <c:showCatName val="1"/>
              <c:showPercent val="1"/>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inEnd"/>
            <c:showVal val="1"/>
            <c:showCatName val="1"/>
            <c:showPercent val="1"/>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'Næringstyper kake'!$E$18:$E$23</c:f>
              <c:strCache>
                <c:ptCount val="5"/>
                <c:pt idx="0">
                  <c:v>Basis</c:v>
                </c:pt>
                <c:pt idx="1">
                  <c:v>Besøk</c:v>
                </c:pt>
                <c:pt idx="2">
                  <c:v>Regional</c:v>
                </c:pt>
                <c:pt idx="3">
                  <c:v>Lokal og kommune</c:v>
                </c:pt>
                <c:pt idx="4">
                  <c:v>Fylke og stat</c:v>
                </c:pt>
              </c:strCache>
            </c:strRef>
          </c:cat>
          <c:val>
            <c:numRef>
              <c:f>'Næringstyper kake'!$F$18:$F$23</c:f>
              <c:numCache>
                <c:formatCode>#,##0</c:formatCode>
                <c:ptCount val="5"/>
                <c:pt idx="0">
                  <c:v>3764</c:v>
                </c:pt>
                <c:pt idx="1">
                  <c:v>2838</c:v>
                </c:pt>
                <c:pt idx="2">
                  <c:v>5516</c:v>
                </c:pt>
                <c:pt idx="3">
                  <c:v>5821</c:v>
                </c:pt>
                <c:pt idx="4">
                  <c:v>2526</c:v>
                </c:pt>
              </c:numCache>
            </c:numRef>
          </c:val>
        </c:ser>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247808367114862E-2"/>
          <c:y val="5.2216202504697926E-2"/>
          <c:w val="0.87911814157204449"/>
          <c:h val="0.89796441991249942"/>
        </c:manualLayout>
      </c:layout>
      <c:pieChart>
        <c:varyColors val="1"/>
        <c:ser>
          <c:idx val="0"/>
          <c:order val="0"/>
          <c:spPr>
            <a:ln>
              <a:noFill/>
            </a:ln>
          </c:spPr>
          <c:dPt>
            <c:idx val="0"/>
            <c:spPr>
              <a:solidFill>
                <a:srgbClr val="C00000"/>
              </a:solidFill>
              <a:ln w="19050">
                <a:noFill/>
              </a:ln>
              <a:effectLst/>
            </c:spPr>
          </c:dPt>
          <c:dPt>
            <c:idx val="1"/>
            <c:spPr>
              <a:solidFill>
                <a:srgbClr val="00B050"/>
              </a:solidFill>
              <a:ln w="19050">
                <a:noFill/>
              </a:ln>
              <a:effectLst/>
            </c:spPr>
          </c:dPt>
          <c:dPt>
            <c:idx val="2"/>
            <c:spPr>
              <a:solidFill>
                <a:srgbClr val="4F81BD"/>
              </a:solidFill>
              <a:ln w="19050">
                <a:noFill/>
              </a:ln>
              <a:effectLst/>
            </c:spPr>
          </c:dPt>
          <c:dPt>
            <c:idx val="3"/>
            <c:spPr>
              <a:solidFill>
                <a:srgbClr val="8064A2"/>
              </a:solidFill>
              <a:ln w="19050">
                <a:noFill/>
              </a:ln>
              <a:effectLst/>
            </c:spPr>
          </c:dPt>
          <c:dPt>
            <c:idx val="4"/>
            <c:spPr>
              <a:solidFill>
                <a:srgbClr val="FAC08F">
                  <a:lumMod val="75000"/>
                </a:srgbClr>
              </a:solidFill>
              <a:ln w="19050">
                <a:noFill/>
              </a:ln>
              <a:effectLst/>
            </c:spPr>
          </c:dPt>
          <c:dPt>
            <c:idx val="5"/>
            <c:explosion val="23"/>
            <c:spPr>
              <a:solidFill>
                <a:sysClr val="window" lastClr="FFFFFF">
                  <a:lumMod val="65000"/>
                </a:sysClr>
              </a:solidFill>
              <a:ln w="19050">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inEnd"/>
            <c:showVal val="1"/>
            <c:showCatName val="1"/>
            <c:showPercent val="1"/>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'Næringstyper kake'!$I$18:$I$23</c:f>
              <c:strCache>
                <c:ptCount val="6"/>
                <c:pt idx="0">
                  <c:v>Basis</c:v>
                </c:pt>
                <c:pt idx="1">
                  <c:v>Besøk</c:v>
                </c:pt>
                <c:pt idx="2">
                  <c:v>Regional</c:v>
                </c:pt>
                <c:pt idx="3">
                  <c:v>Lokal og kommune</c:v>
                </c:pt>
                <c:pt idx="4">
                  <c:v>Fylke og stat</c:v>
                </c:pt>
                <c:pt idx="5">
                  <c:v>Netto utpendling</c:v>
                </c:pt>
              </c:strCache>
            </c:strRef>
          </c:cat>
          <c:val>
            <c:numRef>
              <c:f>'Næringstyper kake'!$J$18:$J$23</c:f>
              <c:numCache>
                <c:formatCode>#,##0</c:formatCode>
                <c:ptCount val="6"/>
                <c:pt idx="0">
                  <c:v>3764</c:v>
                </c:pt>
                <c:pt idx="1">
                  <c:v>2838</c:v>
                </c:pt>
                <c:pt idx="2">
                  <c:v>5516</c:v>
                </c:pt>
                <c:pt idx="3">
                  <c:v>5821</c:v>
                </c:pt>
                <c:pt idx="4">
                  <c:v>2526</c:v>
                </c:pt>
                <c:pt idx="5">
                  <c:v>3713</c:v>
                </c:pt>
              </c:numCache>
            </c:numRef>
          </c:val>
        </c:ser>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sz="800">
          <a:solidFill>
            <a:schemeClr val="bg1"/>
          </a:solidFill>
          <a:latin typeface="Arial" panose="020B0604020202020204" pitchFamily="34" charset="0"/>
          <a:cs typeface="Arial" panose="020B0604020202020204" pitchFamily="34" charset="0"/>
        </a:defRPr>
      </a:pPr>
      <a:endParaRPr lang="nb-NO"/>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061955137430579E-2"/>
          <c:y val="1.1509046861816793E-3"/>
          <c:w val="0.87159952527216045"/>
          <c:h val="0.99884909531381871"/>
        </c:manualLayout>
      </c:layout>
      <c:pieChart>
        <c:varyColors val="1"/>
        <c:ser>
          <c:idx val="0"/>
          <c:order val="0"/>
          <c:spPr>
            <a:ln>
              <a:noFill/>
            </a:ln>
          </c:spPr>
          <c:dPt>
            <c:idx val="0"/>
            <c:spPr>
              <a:solidFill>
                <a:srgbClr val="C00000"/>
              </a:solidFill>
              <a:ln w="19050">
                <a:noFill/>
              </a:ln>
              <a:effectLst/>
            </c:spPr>
          </c:dPt>
          <c:dPt>
            <c:idx val="1"/>
            <c:spPr>
              <a:solidFill>
                <a:srgbClr val="00B050"/>
              </a:solidFill>
              <a:ln w="19050">
                <a:noFill/>
              </a:ln>
              <a:effectLst/>
            </c:spPr>
          </c:dPt>
          <c:dPt>
            <c:idx val="2"/>
            <c:spPr>
              <a:solidFill>
                <a:srgbClr val="4F81BD"/>
              </a:solidFill>
              <a:ln w="19050">
                <a:noFill/>
              </a:ln>
              <a:effectLst/>
            </c:spPr>
          </c:dPt>
          <c:dPt>
            <c:idx val="3"/>
            <c:spPr>
              <a:solidFill>
                <a:srgbClr val="8064A2"/>
              </a:solidFill>
              <a:ln w="19050">
                <a:noFill/>
              </a:ln>
              <a:effectLst/>
            </c:spPr>
          </c:dPt>
          <c:dPt>
            <c:idx val="4"/>
            <c:spPr>
              <a:solidFill>
                <a:srgbClr val="FAC08F">
                  <a:lumMod val="75000"/>
                </a:srgbClr>
              </a:solidFill>
              <a:ln w="19050">
                <a:noFill/>
              </a:ln>
              <a:effectLst/>
            </c:spPr>
          </c:dPt>
          <c:dPt>
            <c:idx val="5"/>
            <c:spPr>
              <a:solidFill>
                <a:sysClr val="window" lastClr="FFFFFF">
                  <a:lumMod val="65000"/>
                </a:sysClr>
              </a:solidFill>
              <a:ln w="19050">
                <a:noFill/>
              </a:ln>
              <a:effectLst/>
            </c:spPr>
          </c:dPt>
          <c:dLbls>
            <c:dLbl>
              <c:idx val="2"/>
              <c:layout>
                <c:manualLayout>
                  <c:x val="-1.6758602470635087E-2"/>
                  <c:y val="-7.6368678563269218E-2"/>
                </c:manualLayout>
              </c:layout>
              <c:dLblPos val="bestFit"/>
              <c:showVal val="1"/>
              <c:showCatName val="1"/>
              <c:showPercent val="1"/>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inEnd"/>
            <c:showVal val="1"/>
            <c:showCatName val="1"/>
            <c:showPercent val="1"/>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'Arbeidsplasser kake'!$A$18:$A$22</c:f>
              <c:strCache>
                <c:ptCount val="5"/>
                <c:pt idx="0">
                  <c:v>Basis</c:v>
                </c:pt>
                <c:pt idx="1">
                  <c:v>Besøk</c:v>
                </c:pt>
                <c:pt idx="2">
                  <c:v>Regional</c:v>
                </c:pt>
                <c:pt idx="3">
                  <c:v>Lokal og kommune</c:v>
                </c:pt>
                <c:pt idx="4">
                  <c:v>Fylke og stat</c:v>
                </c:pt>
              </c:strCache>
            </c:strRef>
          </c:cat>
          <c:val>
            <c:numRef>
              <c:f>'Arbeidsplasser kake'!$B$18:$B$22</c:f>
              <c:numCache>
                <c:formatCode>#,##0</c:formatCode>
                <c:ptCount val="5"/>
                <c:pt idx="0">
                  <c:v>492091</c:v>
                </c:pt>
                <c:pt idx="1">
                  <c:v>376104</c:v>
                </c:pt>
                <c:pt idx="2">
                  <c:v>847934</c:v>
                </c:pt>
                <c:pt idx="3">
                  <c:v>573451</c:v>
                </c:pt>
                <c:pt idx="4">
                  <c:v>329420</c:v>
                </c:pt>
              </c:numCache>
            </c:numRef>
          </c:val>
        </c:ser>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pivotSource>
    <c:name>[Glåmdal grunnmur.xlsx]Ark1!Pivottabell2</c:name>
    <c:fmtId val="7"/>
  </c:pivotSource>
  <c:chart>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1"/>
          </a:solidFill>
          <a:ln w="28575" cap="rnd">
            <a:solidFill>
              <a:schemeClr val="accent1"/>
            </a:solidFill>
            <a:round/>
          </a:ln>
          <a:effectLst/>
        </c:spPr>
        <c:marker>
          <c:symbol val="none"/>
        </c:marker>
      </c:pivotFmt>
      <c:pivotFmt>
        <c:idx val="5"/>
        <c:spPr>
          <a:solidFill>
            <a:schemeClr val="accent1"/>
          </a:solidFill>
          <a:ln w="28575" cap="rnd">
            <a:solidFill>
              <a:schemeClr val="accent1"/>
            </a:solidFill>
            <a:round/>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w="28575" cap="rnd">
            <a:solidFill>
              <a:schemeClr val="accent1"/>
            </a:solidFill>
            <a:round/>
          </a:ln>
          <a:effectLst/>
        </c:spPr>
        <c:marker>
          <c:symbol val="none"/>
        </c:marker>
      </c:pivotFmt>
      <c:pivotFmt>
        <c:idx val="11"/>
        <c:spPr>
          <a:solidFill>
            <a:schemeClr val="accent1"/>
          </a:solidFill>
          <a:ln w="28575" cap="rnd">
            <a:solidFill>
              <a:schemeClr val="accent1"/>
            </a:solidFill>
            <a:round/>
          </a:ln>
          <a:effectLst/>
        </c:spPr>
        <c:marker>
          <c:symbol val="none"/>
        </c:marker>
      </c:pivotFmt>
      <c:pivotFmt>
        <c:idx val="12"/>
        <c:spPr>
          <a:solidFill>
            <a:schemeClr val="accent1"/>
          </a:solidFill>
          <a:ln w="28575" cap="rnd">
            <a:solidFill>
              <a:schemeClr val="accent1"/>
            </a:solidFill>
            <a:round/>
          </a:ln>
          <a:effectLst/>
        </c:spPr>
        <c:marker>
          <c:symbol val="none"/>
        </c:marker>
      </c:pivotFmt>
      <c:pivotFmt>
        <c:idx val="13"/>
        <c:spPr>
          <a:solidFill>
            <a:schemeClr val="accent1"/>
          </a:solidFill>
          <a:ln w="28575" cap="rnd">
            <a:solidFill>
              <a:schemeClr val="accent1"/>
            </a:solidFill>
            <a:round/>
          </a:ln>
          <a:effectLst/>
        </c:spPr>
        <c:marker>
          <c:symbol val="none"/>
        </c:marker>
      </c:pivotFmt>
      <c:pivotFmt>
        <c:idx val="14"/>
        <c:spPr>
          <a:solidFill>
            <a:schemeClr val="accent1"/>
          </a:solidFill>
          <a:ln w="28575" cap="rnd">
            <a:solidFill>
              <a:srgbClr val="C00000"/>
            </a:solidFill>
            <a:round/>
          </a:ln>
          <a:effectLst/>
        </c:spPr>
        <c:marker>
          <c:symbol val="none"/>
        </c:marker>
        <c:dLbl>
          <c:idx val="0"/>
          <c:delete val="1"/>
          <c:extLst>
            <c:ext xmlns:c15="http://schemas.microsoft.com/office/drawing/2012/chart" uri="{CE6537A1-D6FC-4f65-9D91-7224C49458BB}"/>
          </c:extLst>
        </c:dLbl>
      </c:pivotFmt>
      <c:pivotFmt>
        <c:idx val="15"/>
        <c:spPr>
          <a:solidFill>
            <a:schemeClr val="accent1"/>
          </a:solidFill>
          <a:ln w="28575" cap="rnd">
            <a:solidFill>
              <a:srgbClr val="92D050"/>
            </a:solidFill>
            <a:round/>
          </a:ln>
          <a:effectLst/>
        </c:spPr>
        <c:marker>
          <c:symbol val="none"/>
        </c:marker>
        <c:dLbl>
          <c:idx val="0"/>
          <c:delete val="1"/>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0"/>
        <c:spPr>
          <a:solidFill>
            <a:schemeClr val="accent1"/>
          </a:solidFill>
          <a:ln w="28575" cap="rnd">
            <a:solidFill>
              <a:srgbClr val="C00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1"/>
        <c:spPr>
          <a:solidFill>
            <a:schemeClr val="accent1"/>
          </a:solidFill>
          <a:ln w="28575" cap="rnd">
            <a:solidFill>
              <a:schemeClr val="accent5"/>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2"/>
        <c:spPr>
          <a:solidFill>
            <a:schemeClr val="accent1"/>
          </a:solidFill>
          <a:ln w="28575" cap="rnd">
            <a:solidFill>
              <a:srgbClr val="92D05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3"/>
        <c:spPr>
          <a:solidFill>
            <a:schemeClr val="accent1"/>
          </a:solidFill>
          <a:ln w="28575" cap="rnd">
            <a:solidFill>
              <a:schemeClr val="accent3"/>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4"/>
        <c:spPr>
          <a:solidFill>
            <a:schemeClr val="accent1"/>
          </a:solidFill>
          <a:ln w="28575" cap="rnd">
            <a:solidFill>
              <a:srgbClr val="C00000"/>
            </a:solidFill>
            <a:round/>
          </a:ln>
          <a:effectLst/>
        </c:spPr>
        <c:marker>
          <c:symbol val="none"/>
        </c:marker>
        <c:dLbl>
          <c:idx val="0"/>
          <c:delete val="1"/>
          <c:extLst>
            <c:ext xmlns:c15="http://schemas.microsoft.com/office/drawing/2012/chart" uri="{CE6537A1-D6FC-4f65-9D91-7224C49458BB}"/>
          </c:extLst>
        </c:dLbl>
      </c:pivotFmt>
      <c:pivotFmt>
        <c:idx val="25"/>
        <c:spPr>
          <a:solidFill>
            <a:schemeClr val="accent1"/>
          </a:solidFill>
          <a:ln w="28575" cap="rnd">
            <a:solidFill>
              <a:srgbClr val="C00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6"/>
        <c:spPr>
          <a:solidFill>
            <a:schemeClr val="accent1"/>
          </a:solidFill>
          <a:ln w="28575" cap="rnd">
            <a:solidFill>
              <a:srgbClr val="92D050"/>
            </a:solidFill>
            <a:round/>
          </a:ln>
          <a:effectLst/>
        </c:spPr>
        <c:marker>
          <c:symbol val="none"/>
        </c:marker>
        <c:dLbl>
          <c:idx val="0"/>
          <c:delete val="1"/>
          <c:extLst>
            <c:ext xmlns:c15="http://schemas.microsoft.com/office/drawing/2012/chart" uri="{CE6537A1-D6FC-4f65-9D91-7224C49458BB}"/>
          </c:extLst>
        </c:dLbl>
      </c:pivotFmt>
      <c:pivotFmt>
        <c:idx val="27"/>
        <c:spPr>
          <a:solidFill>
            <a:schemeClr val="accent1"/>
          </a:solidFill>
          <a:ln w="28575" cap="rnd">
            <a:solidFill>
              <a:srgbClr val="92D05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9"/>
        <c:spPr>
          <a:solidFill>
            <a:schemeClr val="accent1"/>
          </a:solidFill>
          <a:ln w="28575" cap="rnd">
            <a:solidFill>
              <a:schemeClr val="accent3"/>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3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1"/>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3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3"/>
        <c:spPr>
          <a:solidFill>
            <a:schemeClr val="accent1"/>
          </a:solidFill>
          <a:ln w="28575" cap="rnd">
            <a:solidFill>
              <a:schemeClr val="accent5"/>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34"/>
        <c:spPr>
          <a:solidFill>
            <a:schemeClr val="accent1"/>
          </a:solidFill>
          <a:ln w="28575" cap="rnd">
            <a:solidFill>
              <a:srgbClr val="C00000"/>
            </a:solidFill>
            <a:round/>
          </a:ln>
          <a:effectLst/>
        </c:spPr>
        <c:marker>
          <c:symbol val="none"/>
        </c:marker>
        <c:dLbl>
          <c:idx val="0"/>
          <c:delete val="1"/>
          <c:extLst>
            <c:ext xmlns:c15="http://schemas.microsoft.com/office/drawing/2012/chart" uri="{CE6537A1-D6FC-4f65-9D91-7224C49458BB}"/>
          </c:extLst>
        </c:dLbl>
      </c:pivotFmt>
      <c:pivotFmt>
        <c:idx val="35"/>
        <c:spPr>
          <a:solidFill>
            <a:schemeClr val="accent1"/>
          </a:solidFill>
          <a:ln w="28575" cap="rnd">
            <a:solidFill>
              <a:srgbClr val="C00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36"/>
        <c:spPr>
          <a:solidFill>
            <a:schemeClr val="accent1"/>
          </a:solidFill>
          <a:ln w="28575" cap="rnd">
            <a:solidFill>
              <a:srgbClr val="92D050"/>
            </a:solidFill>
            <a:round/>
          </a:ln>
          <a:effectLst/>
        </c:spPr>
        <c:marker>
          <c:symbol val="none"/>
        </c:marker>
        <c:dLbl>
          <c:idx val="0"/>
          <c:delete val="1"/>
          <c:extLst>
            <c:ext xmlns:c15="http://schemas.microsoft.com/office/drawing/2012/chart" uri="{CE6537A1-D6FC-4f65-9D91-7224C49458BB}"/>
          </c:extLst>
        </c:dLbl>
      </c:pivotFmt>
      <c:pivotFmt>
        <c:idx val="37"/>
        <c:spPr>
          <a:solidFill>
            <a:schemeClr val="accent1"/>
          </a:solidFill>
          <a:ln w="28575" cap="rnd">
            <a:solidFill>
              <a:srgbClr val="92D05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3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9"/>
        <c:spPr>
          <a:solidFill>
            <a:schemeClr val="accent1"/>
          </a:solidFill>
          <a:ln w="28575" cap="rnd">
            <a:solidFill>
              <a:schemeClr val="accent3"/>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4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1"/>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4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3"/>
        <c:spPr>
          <a:solidFill>
            <a:schemeClr val="accent1"/>
          </a:solidFill>
          <a:ln w="28575" cap="rnd">
            <a:solidFill>
              <a:schemeClr val="accent5"/>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s>
    <c:plotArea>
      <c:layout>
        <c:manualLayout>
          <c:layoutTarget val="inner"/>
          <c:xMode val="edge"/>
          <c:yMode val="edge"/>
          <c:x val="0.11101302369731486"/>
          <c:y val="0.21436785649719794"/>
          <c:w val="0.78552301177967476"/>
          <c:h val="0.66642478356065349"/>
        </c:manualLayout>
      </c:layout>
      <c:lineChart>
        <c:grouping val="standard"/>
        <c:ser>
          <c:idx val="0"/>
          <c:order val="0"/>
          <c:tx>
            <c:strRef>
              <c:f>'Ark1'!$B$1:$B$2</c:f>
              <c:strCache>
                <c:ptCount val="1"/>
                <c:pt idx="0">
                  <c:v>Basis</c:v>
                </c:pt>
              </c:strCache>
            </c:strRef>
          </c:tx>
          <c:spPr>
            <a:ln w="28575" cap="rnd">
              <a:solidFill>
                <a:srgbClr val="C00000"/>
              </a:solidFill>
              <a:round/>
            </a:ln>
            <a:effectLst/>
          </c:spPr>
          <c:marker>
            <c:symbol val="none"/>
          </c:marker>
          <c:dLbls>
            <c:dLbl>
              <c:idx val="0"/>
              <c:showVal val="1"/>
              <c:extLst>
                <c:ext xmlns:c15="http://schemas.microsoft.com/office/drawing/2012/chart" uri="{CE6537A1-D6FC-4f65-9D91-7224C49458BB}">
                  <c15:layout/>
                </c:ext>
              </c:extLst>
            </c:dLbl>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'Ark1'!$B$3:$B$16</c:f>
              <c:numCache>
                <c:formatCode>General</c:formatCode>
                <c:ptCount val="14"/>
                <c:pt idx="0">
                  <c:v>5456</c:v>
                </c:pt>
                <c:pt idx="1">
                  <c:v>5205</c:v>
                </c:pt>
                <c:pt idx="2">
                  <c:v>4892</c:v>
                </c:pt>
                <c:pt idx="3">
                  <c:v>4738</c:v>
                </c:pt>
                <c:pt idx="4">
                  <c:v>4514</c:v>
                </c:pt>
                <c:pt idx="5">
                  <c:v>4569</c:v>
                </c:pt>
                <c:pt idx="6">
                  <c:v>4595</c:v>
                </c:pt>
                <c:pt idx="7">
                  <c:v>4510</c:v>
                </c:pt>
                <c:pt idx="8">
                  <c:v>4559</c:v>
                </c:pt>
                <c:pt idx="9">
                  <c:v>4191</c:v>
                </c:pt>
                <c:pt idx="10">
                  <c:v>3859</c:v>
                </c:pt>
                <c:pt idx="11">
                  <c:v>3848</c:v>
                </c:pt>
                <c:pt idx="12">
                  <c:v>3893</c:v>
                </c:pt>
                <c:pt idx="13">
                  <c:v>3764</c:v>
                </c:pt>
              </c:numCache>
            </c:numRef>
          </c:val>
        </c:ser>
        <c:ser>
          <c:idx val="1"/>
          <c:order val="1"/>
          <c:tx>
            <c:strRef>
              <c:f>'Ark1'!$C$1:$C$2</c:f>
              <c:strCache>
                <c:ptCount val="1"/>
                <c:pt idx="0">
                  <c:v>Besøk</c:v>
                </c:pt>
              </c:strCache>
            </c:strRef>
          </c:tx>
          <c:spPr>
            <a:ln w="28575" cap="rnd">
              <a:solidFill>
                <a:srgbClr val="92D050"/>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'Ark1'!$C$3:$C$16</c:f>
              <c:numCache>
                <c:formatCode>General</c:formatCode>
                <c:ptCount val="14"/>
                <c:pt idx="0">
                  <c:v>2832</c:v>
                </c:pt>
                <c:pt idx="1">
                  <c:v>2910</c:v>
                </c:pt>
                <c:pt idx="2">
                  <c:v>3006</c:v>
                </c:pt>
                <c:pt idx="3">
                  <c:v>3067</c:v>
                </c:pt>
                <c:pt idx="4">
                  <c:v>3078</c:v>
                </c:pt>
                <c:pt idx="5">
                  <c:v>3072</c:v>
                </c:pt>
                <c:pt idx="6">
                  <c:v>3073</c:v>
                </c:pt>
                <c:pt idx="7">
                  <c:v>3065</c:v>
                </c:pt>
                <c:pt idx="8">
                  <c:v>3092</c:v>
                </c:pt>
                <c:pt idx="9">
                  <c:v>3059</c:v>
                </c:pt>
                <c:pt idx="10">
                  <c:v>3025</c:v>
                </c:pt>
                <c:pt idx="11">
                  <c:v>3015</c:v>
                </c:pt>
                <c:pt idx="12">
                  <c:v>2925</c:v>
                </c:pt>
                <c:pt idx="13">
                  <c:v>2838</c:v>
                </c:pt>
              </c:numCache>
            </c:numRef>
          </c:val>
        </c:ser>
        <c:ser>
          <c:idx val="2"/>
          <c:order val="2"/>
          <c:tx>
            <c:strRef>
              <c:f>'Ark1'!$D$1:$D$2</c:f>
              <c:strCache>
                <c:ptCount val="1"/>
                <c:pt idx="0">
                  <c:v>Fylke og stat</c:v>
                </c:pt>
              </c:strCache>
            </c:strRef>
          </c:tx>
          <c:spPr>
            <a:ln w="28575" cap="rnd">
              <a:solidFill>
                <a:schemeClr val="accent3"/>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'Ark1'!$D$3:$D$16</c:f>
              <c:numCache>
                <c:formatCode>General</c:formatCode>
                <c:ptCount val="14"/>
                <c:pt idx="0">
                  <c:v>2497</c:v>
                </c:pt>
                <c:pt idx="1">
                  <c:v>2546</c:v>
                </c:pt>
                <c:pt idx="2">
                  <c:v>2299</c:v>
                </c:pt>
                <c:pt idx="3">
                  <c:v>2209</c:v>
                </c:pt>
                <c:pt idx="4">
                  <c:v>2308</c:v>
                </c:pt>
                <c:pt idx="5">
                  <c:v>2272</c:v>
                </c:pt>
                <c:pt idx="6">
                  <c:v>2349</c:v>
                </c:pt>
                <c:pt idx="7">
                  <c:v>2361</c:v>
                </c:pt>
                <c:pt idx="8">
                  <c:v>2336</c:v>
                </c:pt>
                <c:pt idx="9">
                  <c:v>2394</c:v>
                </c:pt>
                <c:pt idx="10">
                  <c:v>2470</c:v>
                </c:pt>
                <c:pt idx="11">
                  <c:v>2509</c:v>
                </c:pt>
                <c:pt idx="12">
                  <c:v>2520</c:v>
                </c:pt>
                <c:pt idx="13">
                  <c:v>2526</c:v>
                </c:pt>
              </c:numCache>
            </c:numRef>
          </c:val>
        </c:ser>
        <c:ser>
          <c:idx val="3"/>
          <c:order val="3"/>
          <c:tx>
            <c:strRef>
              <c:f>'Ark1'!$E$1:$E$2</c:f>
              <c:strCache>
                <c:ptCount val="1"/>
                <c:pt idx="0">
                  <c:v>Lokal og kommune</c:v>
                </c:pt>
              </c:strCache>
            </c:strRef>
          </c:tx>
          <c:spPr>
            <a:ln w="28575" cap="rnd">
              <a:solidFill>
                <a:schemeClr val="accent4"/>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'Ark1'!$E$3:$E$16</c:f>
              <c:numCache>
                <c:formatCode>General</c:formatCode>
                <c:ptCount val="14"/>
                <c:pt idx="0">
                  <c:v>5509</c:v>
                </c:pt>
                <c:pt idx="1">
                  <c:v>5789</c:v>
                </c:pt>
                <c:pt idx="2">
                  <c:v>5919</c:v>
                </c:pt>
                <c:pt idx="3">
                  <c:v>5874</c:v>
                </c:pt>
                <c:pt idx="4">
                  <c:v>6019</c:v>
                </c:pt>
                <c:pt idx="5">
                  <c:v>5596</c:v>
                </c:pt>
                <c:pt idx="6">
                  <c:v>5594</c:v>
                </c:pt>
                <c:pt idx="7">
                  <c:v>5719</c:v>
                </c:pt>
                <c:pt idx="8">
                  <c:v>5743</c:v>
                </c:pt>
                <c:pt idx="9">
                  <c:v>5823</c:v>
                </c:pt>
                <c:pt idx="10">
                  <c:v>5892</c:v>
                </c:pt>
                <c:pt idx="11">
                  <c:v>5816</c:v>
                </c:pt>
                <c:pt idx="12">
                  <c:v>5848</c:v>
                </c:pt>
                <c:pt idx="13">
                  <c:v>5821</c:v>
                </c:pt>
              </c:numCache>
            </c:numRef>
          </c:val>
        </c:ser>
        <c:ser>
          <c:idx val="4"/>
          <c:order val="4"/>
          <c:tx>
            <c:strRef>
              <c:f>'Ark1'!$F$1:$F$2</c:f>
              <c:strCache>
                <c:ptCount val="1"/>
                <c:pt idx="0">
                  <c:v>Regional</c:v>
                </c:pt>
              </c:strCache>
            </c:strRef>
          </c:tx>
          <c:spPr>
            <a:ln w="28575" cap="rnd">
              <a:solidFill>
                <a:schemeClr val="accent5"/>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'Ark1'!$F$3:$F$16</c:f>
              <c:numCache>
                <c:formatCode>General</c:formatCode>
                <c:ptCount val="14"/>
                <c:pt idx="0">
                  <c:v>4577</c:v>
                </c:pt>
                <c:pt idx="1">
                  <c:v>4744</c:v>
                </c:pt>
                <c:pt idx="2">
                  <c:v>4698</c:v>
                </c:pt>
                <c:pt idx="3">
                  <c:v>4684</c:v>
                </c:pt>
                <c:pt idx="4">
                  <c:v>5026</c:v>
                </c:pt>
                <c:pt idx="5">
                  <c:v>5036</c:v>
                </c:pt>
                <c:pt idx="6">
                  <c:v>5382</c:v>
                </c:pt>
                <c:pt idx="7">
                  <c:v>5679</c:v>
                </c:pt>
                <c:pt idx="8">
                  <c:v>5926</c:v>
                </c:pt>
                <c:pt idx="9">
                  <c:v>5464</c:v>
                </c:pt>
                <c:pt idx="10">
                  <c:v>5475</c:v>
                </c:pt>
                <c:pt idx="11">
                  <c:v>5380</c:v>
                </c:pt>
                <c:pt idx="12">
                  <c:v>5564</c:v>
                </c:pt>
                <c:pt idx="13">
                  <c:v>5516</c:v>
                </c:pt>
              </c:numCache>
            </c:numRef>
          </c:val>
        </c:ser>
        <c:marker val="1"/>
        <c:axId val="236026112"/>
        <c:axId val="236040192"/>
      </c:lineChart>
      <c:catAx>
        <c:axId val="236026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36040192"/>
        <c:crosses val="autoZero"/>
        <c:auto val="1"/>
        <c:lblAlgn val="ctr"/>
        <c:lblOffset val="100"/>
      </c:catAx>
      <c:valAx>
        <c:axId val="2360401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36026112"/>
        <c:crosses val="autoZero"/>
        <c:crossBetween val="between"/>
      </c:valAx>
      <c:spPr>
        <a:noFill/>
        <a:ln>
          <a:noFill/>
        </a:ln>
        <a:effectLst/>
      </c:spPr>
    </c:plotArea>
    <c:legend>
      <c:legendPos val="t"/>
      <c:layout>
        <c:manualLayout>
          <c:xMode val="edge"/>
          <c:yMode val="edge"/>
          <c:x val="0.13113405714929693"/>
          <c:y val="1.5065383765542459E-2"/>
          <c:w val="0.8089376478962117"/>
          <c:h val="0.22946211558162433"/>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pivotSource>
    <c:name>[Glåmdal grunnmur.xlsx]Indeks vekst næringstyper!Næringstyper indeks vekst</c:name>
    <c:fmtId val="40"/>
  </c:pivotSource>
  <c:chart>
    <c:pivotFmts>
      <c:pivotFmt>
        <c:idx val="0"/>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28575" cap="rnd">
            <a:solidFill>
              <a:srgbClr val="00B050"/>
            </a:solidFill>
            <a:round/>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layout>
            <c:manualLayout>
              <c:x val="-6.3191153238547791E-3"/>
              <c:y val="-3.312628967557885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layout>
            <c:manualLayout>
              <c:x val="-3.1595576619274481E-3"/>
              <c:y val="3.3126289675578704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7"/>
        <c:spPr>
          <a:solidFill>
            <a:schemeClr val="accent1"/>
          </a:solidFill>
          <a:ln w="28575" cap="rnd">
            <a:solidFill>
              <a:schemeClr val="accent2"/>
            </a:solidFill>
            <a:round/>
          </a:ln>
          <a:effectLst/>
        </c:spPr>
        <c:marker>
          <c:symbol val="none"/>
        </c:marker>
        <c:dLbl>
          <c:idx val="0"/>
          <c:layout>
            <c:manualLayout>
              <c:x val="-3.1595576619274481E-3"/>
              <c:y val="3.3126289675577641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8"/>
        <c:spPr>
          <a:solidFill>
            <a:schemeClr val="accent1"/>
          </a:solidFill>
          <a:ln w="28575" cap="rnd">
            <a:solidFill>
              <a:srgbClr val="00B050"/>
            </a:solidFill>
            <a:round/>
          </a:ln>
          <a:effectLst/>
        </c:spPr>
        <c:marker>
          <c:symbol val="none"/>
        </c:marker>
        <c:dLbl>
          <c:idx val="0"/>
          <c:layout>
            <c:manualLayout>
              <c:x val="-1.1584910930520576E-16"/>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9"/>
        <c:spPr>
          <a:solidFill>
            <a:schemeClr val="accent1"/>
          </a:solidFill>
          <a:ln w="28575" cap="rnd">
            <a:solidFill>
              <a:srgbClr val="FFC000"/>
            </a:solidFill>
            <a:round/>
          </a:ln>
          <a:effectLst/>
        </c:spPr>
        <c:marker>
          <c:symbol val="none"/>
        </c:marker>
        <c:dLbl>
          <c:idx val="0"/>
          <c:layout>
            <c:manualLayout>
              <c:x val="-1.1584910930520576E-16"/>
              <c:y val="9.9378869026736615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w="28575" cap="rnd">
            <a:solidFill>
              <a:schemeClr val="accent2"/>
            </a:solidFill>
            <a:round/>
          </a:ln>
          <a:effectLst/>
        </c:spPr>
        <c:marker>
          <c:symbol val="none"/>
        </c:marker>
        <c:dLbl>
          <c:idx val="0"/>
          <c:layout>
            <c:manualLayout>
              <c:x val="-3.1595576619274481E-3"/>
              <c:y val="3.3126289675577641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
        <c:spPr>
          <a:solidFill>
            <a:schemeClr val="accent1"/>
          </a:solidFill>
          <a:ln w="28575" cap="rnd">
            <a:solidFill>
              <a:srgbClr val="00B050"/>
            </a:solidFill>
            <a:round/>
          </a:ln>
          <a:effectLst/>
        </c:spPr>
        <c:marker>
          <c:symbol val="none"/>
        </c:marker>
        <c:dLbl>
          <c:idx val="0"/>
          <c:delete val="1"/>
          <c:extLst>
            <c:ext xmlns:c15="http://schemas.microsoft.com/office/drawing/2012/chart" uri="{CE6537A1-D6FC-4f65-9D91-7224C49458BB}"/>
          </c:extLst>
        </c:dLbl>
      </c:pivotFmt>
      <c:pivotFmt>
        <c:idx val="13"/>
        <c:spPr>
          <a:solidFill>
            <a:schemeClr val="accent1"/>
          </a:solidFill>
          <a:ln w="28575" cap="rnd">
            <a:solidFill>
              <a:srgbClr val="00B050"/>
            </a:solidFill>
            <a:round/>
          </a:ln>
          <a:effectLst/>
        </c:spPr>
        <c:marker>
          <c:symbol val="none"/>
        </c:marker>
        <c:dLbl>
          <c:idx val="0"/>
          <c:layout>
            <c:manualLayout>
              <c:x val="-1.1584910930520576E-16"/>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4"/>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15"/>
        <c:spPr>
          <a:solidFill>
            <a:schemeClr val="accent1"/>
          </a:solidFill>
          <a:ln w="28575" cap="rnd">
            <a:solidFill>
              <a:srgbClr val="FFC000"/>
            </a:solidFill>
            <a:round/>
          </a:ln>
          <a:effectLst/>
        </c:spPr>
        <c:marker>
          <c:symbol val="none"/>
        </c:marker>
        <c:dLbl>
          <c:idx val="0"/>
          <c:layout>
            <c:manualLayout>
              <c:x val="-1.1584910930520576E-16"/>
              <c:y val="9.9378869026736615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7"/>
        <c:spPr>
          <a:solidFill>
            <a:schemeClr val="accent1"/>
          </a:solidFill>
          <a:ln w="28575" cap="rnd">
            <a:solidFill>
              <a:schemeClr val="accent4"/>
            </a:solidFill>
            <a:round/>
          </a:ln>
          <a:effectLst/>
        </c:spPr>
        <c:marker>
          <c:symbol val="none"/>
        </c:marker>
        <c:dLbl>
          <c:idx val="0"/>
          <c:layout>
            <c:manualLayout>
              <c:x val="-3.1595576619274481E-3"/>
              <c:y val="3.3126289675578704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layout>
            <c:manualLayout>
              <c:x val="-6.3191153238547791E-3"/>
              <c:y val="-3.312628967557885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0"/>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21"/>
        <c:spPr>
          <a:solidFill>
            <a:schemeClr val="accent1"/>
          </a:solidFill>
          <a:ln w="28575" cap="rnd">
            <a:solidFill>
              <a:schemeClr val="accent2"/>
            </a:solidFill>
            <a:round/>
          </a:ln>
          <a:effectLst/>
        </c:spPr>
        <c:marker>
          <c:symbol val="none"/>
        </c:marker>
        <c:dLbl>
          <c:idx val="0"/>
          <c:layout>
            <c:manualLayout>
              <c:x val="-3.1595576619274481E-3"/>
              <c:y val="3.3126289675577641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2"/>
        <c:spPr>
          <a:solidFill>
            <a:schemeClr val="accent1"/>
          </a:solidFill>
          <a:ln w="28575" cap="rnd">
            <a:solidFill>
              <a:srgbClr val="00B050"/>
            </a:solidFill>
            <a:round/>
          </a:ln>
          <a:effectLst/>
        </c:spPr>
        <c:marker>
          <c:symbol val="none"/>
        </c:marker>
        <c:dLbl>
          <c:idx val="0"/>
          <c:delete val="1"/>
          <c:extLst>
            <c:ext xmlns:c15="http://schemas.microsoft.com/office/drawing/2012/chart" uri="{CE6537A1-D6FC-4f65-9D91-7224C49458BB}"/>
          </c:extLst>
        </c:dLbl>
      </c:pivotFmt>
      <c:pivotFmt>
        <c:idx val="23"/>
        <c:spPr>
          <a:solidFill>
            <a:schemeClr val="accent1"/>
          </a:solidFill>
          <a:ln w="28575" cap="rnd">
            <a:solidFill>
              <a:srgbClr val="00B050"/>
            </a:solidFill>
            <a:round/>
          </a:ln>
          <a:effectLst/>
        </c:spPr>
        <c:marker>
          <c:symbol val="none"/>
        </c:marker>
        <c:dLbl>
          <c:idx val="0"/>
          <c:layout>
            <c:manualLayout>
              <c:x val="-1.1584910930520576E-16"/>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4"/>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25"/>
        <c:spPr>
          <a:solidFill>
            <a:schemeClr val="accent1"/>
          </a:solidFill>
          <a:ln w="28575" cap="rnd">
            <a:solidFill>
              <a:srgbClr val="FFC000"/>
            </a:solidFill>
            <a:round/>
          </a:ln>
          <a:effectLst/>
        </c:spPr>
        <c:marker>
          <c:symbol val="none"/>
        </c:marker>
        <c:dLbl>
          <c:idx val="0"/>
          <c:layout>
            <c:manualLayout>
              <c:x val="-1.1584910930520576E-16"/>
              <c:y val="9.9378869026736615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7"/>
        <c:spPr>
          <a:solidFill>
            <a:schemeClr val="accent1"/>
          </a:solidFill>
          <a:ln w="28575" cap="rnd">
            <a:solidFill>
              <a:schemeClr val="accent4"/>
            </a:solidFill>
            <a:round/>
          </a:ln>
          <a:effectLst/>
        </c:spPr>
        <c:marker>
          <c:symbol val="none"/>
        </c:marker>
        <c:dLbl>
          <c:idx val="0"/>
          <c:layout>
            <c:manualLayout>
              <c:x val="-3.1595576619274481E-3"/>
              <c:y val="3.3126289675578704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layout>
            <c:manualLayout>
              <c:x val="-6.3191153238547791E-3"/>
              <c:y val="-3.312628967557885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s>
    <c:plotArea>
      <c:layout>
        <c:manualLayout>
          <c:layoutTarget val="inner"/>
          <c:xMode val="edge"/>
          <c:yMode val="edge"/>
          <c:x val="8.7068803899512562E-2"/>
          <c:y val="5.6251830749178423E-2"/>
          <c:w val="0.79807232429279651"/>
          <c:h val="0.83437689840375651"/>
        </c:manualLayout>
      </c:layout>
      <c:lineChart>
        <c:grouping val="standard"/>
        <c:ser>
          <c:idx val="0"/>
          <c:order val="0"/>
          <c:tx>
            <c:strRef>
              <c:f>'Indeks vekst næringstyper'!$E$18:$E$19</c:f>
              <c:strCache>
                <c:ptCount val="1"/>
                <c:pt idx="0">
                  <c:v>Basis</c:v>
                </c:pt>
              </c:strCache>
            </c:strRef>
          </c:tx>
          <c:spPr>
            <a:ln w="28575" cap="rnd">
              <a:solidFill>
                <a:schemeClr val="accent2"/>
              </a:solidFill>
              <a:round/>
            </a:ln>
            <a:effectLst/>
          </c:spPr>
          <c:marker>
            <c:symbol val="none"/>
          </c:marker>
          <c:dLbls>
            <c:dLbl>
              <c:idx val="13"/>
              <c:layout>
                <c:manualLayout>
                  <c:x val="-3.1595576619274481E-3"/>
                  <c:y val="3.3126289675577641E-3"/>
                </c:manualLayout>
              </c:layout>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'Indeks vekst næringstyper'!$D$20:$D$33</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'Indeks vekst næringstyper'!$E$20:$E$33</c:f>
              <c:numCache>
                <c:formatCode>General</c:formatCode>
                <c:ptCount val="14"/>
                <c:pt idx="0">
                  <c:v>100</c:v>
                </c:pt>
                <c:pt idx="1">
                  <c:v>95.399560117302073</c:v>
                </c:pt>
                <c:pt idx="2">
                  <c:v>89.662756598240449</c:v>
                </c:pt>
                <c:pt idx="3">
                  <c:v>86.840175953079182</c:v>
                </c:pt>
                <c:pt idx="4">
                  <c:v>82.734604105571847</c:v>
                </c:pt>
                <c:pt idx="5">
                  <c:v>83.742668621700915</c:v>
                </c:pt>
                <c:pt idx="6">
                  <c:v>84.219208211143695</c:v>
                </c:pt>
                <c:pt idx="7">
                  <c:v>82.661290322580598</c:v>
                </c:pt>
                <c:pt idx="8">
                  <c:v>83.559384164222848</c:v>
                </c:pt>
                <c:pt idx="9">
                  <c:v>76.814516129032285</c:v>
                </c:pt>
                <c:pt idx="10">
                  <c:v>70.729472140762439</c:v>
                </c:pt>
                <c:pt idx="11">
                  <c:v>70.527859237536632</c:v>
                </c:pt>
                <c:pt idx="12">
                  <c:v>71.352639296187689</c:v>
                </c:pt>
                <c:pt idx="13">
                  <c:v>68.988269794721404</c:v>
                </c:pt>
              </c:numCache>
            </c:numRef>
          </c:val>
        </c:ser>
        <c:ser>
          <c:idx val="1"/>
          <c:order val="1"/>
          <c:tx>
            <c:strRef>
              <c:f>'Indeks vekst næringstyper'!$F$18:$F$19</c:f>
              <c:strCache>
                <c:ptCount val="1"/>
                <c:pt idx="0">
                  <c:v>Besøk</c:v>
                </c:pt>
              </c:strCache>
            </c:strRef>
          </c:tx>
          <c:spPr>
            <a:ln w="28575" cap="rnd">
              <a:solidFill>
                <a:srgbClr val="00B050"/>
              </a:solidFill>
              <a:round/>
            </a:ln>
            <a:effectLst/>
          </c:spPr>
          <c:marker>
            <c:symbol val="none"/>
          </c:marker>
          <c:dLbls>
            <c:dLbl>
              <c:idx val="13"/>
              <c:layout>
                <c:manualLayout>
                  <c:x val="0"/>
                  <c:y val="2.8906955736223969E-2"/>
                </c:manualLayout>
              </c:layout>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'Indeks vekst næringstyper'!$D$20:$D$33</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'Indeks vekst næringstyper'!$F$20:$F$33</c:f>
              <c:numCache>
                <c:formatCode>General</c:formatCode>
                <c:ptCount val="14"/>
                <c:pt idx="0">
                  <c:v>100</c:v>
                </c:pt>
                <c:pt idx="1">
                  <c:v>102.75423728813563</c:v>
                </c:pt>
                <c:pt idx="2">
                  <c:v>106.14406779661017</c:v>
                </c:pt>
                <c:pt idx="3">
                  <c:v>108.29802259887006</c:v>
                </c:pt>
                <c:pt idx="4">
                  <c:v>108.68644067796608</c:v>
                </c:pt>
                <c:pt idx="5">
                  <c:v>108.47457627118644</c:v>
                </c:pt>
                <c:pt idx="6">
                  <c:v>108.50988700564969</c:v>
                </c:pt>
                <c:pt idx="7">
                  <c:v>108.2274011299435</c:v>
                </c:pt>
                <c:pt idx="8">
                  <c:v>109.18079096045192</c:v>
                </c:pt>
                <c:pt idx="9">
                  <c:v>108.01553672316385</c:v>
                </c:pt>
                <c:pt idx="10">
                  <c:v>106.81497175141243</c:v>
                </c:pt>
                <c:pt idx="11">
                  <c:v>106.4618644067797</c:v>
                </c:pt>
                <c:pt idx="12">
                  <c:v>103.2838983050847</c:v>
                </c:pt>
                <c:pt idx="13">
                  <c:v>100.2118644067797</c:v>
                </c:pt>
              </c:numCache>
            </c:numRef>
          </c:val>
        </c:ser>
        <c:ser>
          <c:idx val="2"/>
          <c:order val="2"/>
          <c:tx>
            <c:strRef>
              <c:f>'Indeks vekst næringstyper'!$G$18:$G$19</c:f>
              <c:strCache>
                <c:ptCount val="1"/>
                <c:pt idx="0">
                  <c:v>Fylke og stat</c:v>
                </c:pt>
              </c:strCache>
            </c:strRef>
          </c:tx>
          <c:spPr>
            <a:ln w="28575" cap="rnd">
              <a:solidFill>
                <a:srgbClr val="FFC000"/>
              </a:solidFill>
              <a:round/>
            </a:ln>
            <a:effectLst/>
          </c:spPr>
          <c:marker>
            <c:symbol val="none"/>
          </c:marker>
          <c:dLbls>
            <c:dLbl>
              <c:idx val="13"/>
              <c:layout>
                <c:manualLayout>
                  <c:x val="0"/>
                  <c:y val="-9.0220429763352816E-4"/>
                </c:manualLayout>
              </c:layout>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'Indeks vekst næringstyper'!$D$20:$D$33</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'Indeks vekst næringstyper'!$G$20:$G$33</c:f>
              <c:numCache>
                <c:formatCode>General</c:formatCode>
                <c:ptCount val="14"/>
                <c:pt idx="0">
                  <c:v>100</c:v>
                </c:pt>
                <c:pt idx="1">
                  <c:v>101.96235482579095</c:v>
                </c:pt>
                <c:pt idx="2">
                  <c:v>92.07048458149778</c:v>
                </c:pt>
                <c:pt idx="3">
                  <c:v>88.466159391269557</c:v>
                </c:pt>
                <c:pt idx="4">
                  <c:v>92.430917100520603</c:v>
                </c:pt>
                <c:pt idx="5">
                  <c:v>90.989187024429285</c:v>
                </c:pt>
                <c:pt idx="6">
                  <c:v>94.072887464957915</c:v>
                </c:pt>
                <c:pt idx="7">
                  <c:v>94.553464156988355</c:v>
                </c:pt>
                <c:pt idx="8">
                  <c:v>93.552262715258308</c:v>
                </c:pt>
                <c:pt idx="9">
                  <c:v>95.875050060072084</c:v>
                </c:pt>
                <c:pt idx="10">
                  <c:v>98.918702442931519</c:v>
                </c:pt>
                <c:pt idx="11">
                  <c:v>100.48057669203044</c:v>
                </c:pt>
                <c:pt idx="12">
                  <c:v>100.92110532639167</c:v>
                </c:pt>
                <c:pt idx="13">
                  <c:v>101.16139367240686</c:v>
                </c:pt>
              </c:numCache>
            </c:numRef>
          </c:val>
        </c:ser>
        <c:ser>
          <c:idx val="3"/>
          <c:order val="3"/>
          <c:tx>
            <c:strRef>
              <c:f>'Indeks vekst næringstyper'!$H$18:$H$19</c:f>
              <c:strCache>
                <c:ptCount val="1"/>
                <c:pt idx="0">
                  <c:v>Lokal og kommune</c:v>
                </c:pt>
              </c:strCache>
            </c:strRef>
          </c:tx>
          <c:spPr>
            <a:ln w="28575" cap="rnd">
              <a:solidFill>
                <a:schemeClr val="accent4"/>
              </a:solidFill>
              <a:round/>
            </a:ln>
            <a:effectLst/>
          </c:spPr>
          <c:marker>
            <c:symbol val="none"/>
          </c:marker>
          <c:dLbls>
            <c:dLbl>
              <c:idx val="13"/>
              <c:layout>
                <c:manualLayout>
                  <c:x val="-3.1595576619274481E-3"/>
                  <c:y val="3.3126289675578704E-3"/>
                </c:manualLayout>
              </c:layout>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'Indeks vekst næringstyper'!$D$20:$D$33</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'Indeks vekst næringstyper'!$H$20:$H$33</c:f>
              <c:numCache>
                <c:formatCode>General</c:formatCode>
                <c:ptCount val="14"/>
                <c:pt idx="0">
                  <c:v>100</c:v>
                </c:pt>
                <c:pt idx="1">
                  <c:v>105.08259212198219</c:v>
                </c:pt>
                <c:pt idx="2">
                  <c:v>107.44236703575963</c:v>
                </c:pt>
                <c:pt idx="3">
                  <c:v>106.62552187329821</c:v>
                </c:pt>
                <c:pt idx="4">
                  <c:v>109.25757850789614</c:v>
                </c:pt>
                <c:pt idx="5">
                  <c:v>101.57923398075876</c:v>
                </c:pt>
                <c:pt idx="6">
                  <c:v>101.54292975131607</c:v>
                </c:pt>
                <c:pt idx="7">
                  <c:v>103.81194409148665</c:v>
                </c:pt>
                <c:pt idx="8">
                  <c:v>104.24759484479942</c:v>
                </c:pt>
                <c:pt idx="9">
                  <c:v>105.69976402250859</c:v>
                </c:pt>
                <c:pt idx="10">
                  <c:v>106.95225993828282</c:v>
                </c:pt>
                <c:pt idx="11">
                  <c:v>105.57269921945904</c:v>
                </c:pt>
                <c:pt idx="12">
                  <c:v>106.15356689054275</c:v>
                </c:pt>
                <c:pt idx="13">
                  <c:v>105.6634597930659</c:v>
                </c:pt>
              </c:numCache>
            </c:numRef>
          </c:val>
        </c:ser>
        <c:ser>
          <c:idx val="4"/>
          <c:order val="4"/>
          <c:tx>
            <c:strRef>
              <c:f>'Indeks vekst næringstyper'!$I$18:$I$19</c:f>
              <c:strCache>
                <c:ptCount val="1"/>
                <c:pt idx="0">
                  <c:v>Regional</c:v>
                </c:pt>
              </c:strCache>
            </c:strRef>
          </c:tx>
          <c:spPr>
            <a:ln w="28575" cap="rnd">
              <a:solidFill>
                <a:schemeClr val="accent1"/>
              </a:solidFill>
              <a:round/>
            </a:ln>
            <a:effectLst/>
          </c:spPr>
          <c:marker>
            <c:symbol val="none"/>
          </c:marker>
          <c:dLbls>
            <c:dLbl>
              <c:idx val="13"/>
              <c:layout>
                <c:manualLayout>
                  <c:x val="-6.3191153238547791E-3"/>
                  <c:y val="-3.3126289675578853E-2"/>
                </c:manualLayout>
              </c:layout>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'Indeks vekst næringstyper'!$D$20:$D$33</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'Indeks vekst næringstyper'!$I$20:$I$33</c:f>
              <c:numCache>
                <c:formatCode>General</c:formatCode>
                <c:ptCount val="14"/>
                <c:pt idx="0">
                  <c:v>100</c:v>
                </c:pt>
                <c:pt idx="1">
                  <c:v>103.64867817347601</c:v>
                </c:pt>
                <c:pt idx="2">
                  <c:v>102.64365304784798</c:v>
                </c:pt>
                <c:pt idx="3">
                  <c:v>102.33777583570021</c:v>
                </c:pt>
                <c:pt idx="4">
                  <c:v>109.80991916102252</c:v>
                </c:pt>
                <c:pt idx="5">
                  <c:v>110.02840288398509</c:v>
                </c:pt>
                <c:pt idx="6">
                  <c:v>117.58793969849246</c:v>
                </c:pt>
                <c:pt idx="7">
                  <c:v>124.07690627048282</c:v>
                </c:pt>
                <c:pt idx="8">
                  <c:v>129.47345422765997</c:v>
                </c:pt>
                <c:pt idx="9">
                  <c:v>119.37950622678606</c:v>
                </c:pt>
                <c:pt idx="10">
                  <c:v>119.61983832204498</c:v>
                </c:pt>
                <c:pt idx="11">
                  <c:v>117.54424295389994</c:v>
                </c:pt>
                <c:pt idx="12">
                  <c:v>121.5643434564125</c:v>
                </c:pt>
                <c:pt idx="13">
                  <c:v>120.51562158619183</c:v>
                </c:pt>
              </c:numCache>
            </c:numRef>
          </c:val>
        </c:ser>
        <c:marker val="1"/>
        <c:axId val="236382464"/>
        <c:axId val="236404736"/>
      </c:lineChart>
      <c:catAx>
        <c:axId val="236382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36404736"/>
        <c:crosses val="autoZero"/>
        <c:auto val="1"/>
        <c:lblAlgn val="ctr"/>
        <c:lblOffset val="100"/>
      </c:catAx>
      <c:valAx>
        <c:axId val="236404736"/>
        <c:scaling>
          <c:orientation val="minMax"/>
          <c:min val="6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36382464"/>
        <c:crosses val="autoZero"/>
        <c:crossBetween val="between"/>
      </c:valAx>
      <c:spPr>
        <a:noFill/>
        <a:ln>
          <a:noFill/>
        </a:ln>
        <a:effectLst/>
      </c:spPr>
    </c:plotArea>
    <c:legend>
      <c:legendPos val="t"/>
      <c:layout>
        <c:manualLayout>
          <c:xMode val="edge"/>
          <c:yMode val="edge"/>
          <c:x val="8.6556171219338326E-2"/>
          <c:y val="2.1083299546906239E-2"/>
          <c:w val="0.63213543804654782"/>
          <c:h val="0.2294165261862592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pivotSource>
    <c:name>[Copy of Norge 2014 Marit drodling.xlsx]Næringstyper tid!Antall arbeidsplasser</c:name>
    <c:fmtId val="-1"/>
  </c:pivotSource>
  <c:chart>
    <c:pivotFmts>
      <c:pivotFmt>
        <c:idx val="0"/>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w="28575" cap="rnd">
            <a:solidFill>
              <a:schemeClr val="accent4"/>
            </a:solidFill>
            <a:round/>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7"/>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8"/>
        <c:spPr>
          <a:solidFill>
            <a:schemeClr val="accent1"/>
          </a:solidFill>
          <a:ln w="28575" cap="rnd">
            <a:solidFill>
              <a:schemeClr val="accent6"/>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9"/>
        <c:spPr>
          <a:solidFill>
            <a:schemeClr val="accent1"/>
          </a:solidFill>
          <a:ln w="28575" cap="rnd">
            <a:solidFill>
              <a:srgbClr val="FFC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13"/>
        <c:spPr>
          <a:solidFill>
            <a:schemeClr val="accent1"/>
          </a:solidFill>
          <a:ln w="28575" cap="rnd">
            <a:solidFill>
              <a:schemeClr val="accent6"/>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4"/>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15"/>
        <c:spPr>
          <a:solidFill>
            <a:schemeClr val="accent1"/>
          </a:solidFill>
          <a:ln w="28575" cap="rnd">
            <a:solidFill>
              <a:srgbClr val="FFC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7"/>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0"/>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21"/>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2"/>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23"/>
        <c:spPr>
          <a:solidFill>
            <a:schemeClr val="accent1"/>
          </a:solidFill>
          <a:ln w="28575" cap="rnd">
            <a:solidFill>
              <a:schemeClr val="accent6"/>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4"/>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25"/>
        <c:spPr>
          <a:solidFill>
            <a:schemeClr val="accent1"/>
          </a:solidFill>
          <a:ln w="28575" cap="rnd">
            <a:solidFill>
              <a:srgbClr val="FFC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7"/>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s>
    <c:plotArea>
      <c:layout>
        <c:manualLayout>
          <c:layoutTarget val="inner"/>
          <c:xMode val="edge"/>
          <c:yMode val="edge"/>
          <c:x val="0.10051878397184853"/>
          <c:y val="0.17230795300723425"/>
          <c:w val="0.6953911132872056"/>
          <c:h val="0.71154516067998275"/>
        </c:manualLayout>
      </c:layout>
      <c:lineChart>
        <c:grouping val="standard"/>
        <c:ser>
          <c:idx val="0"/>
          <c:order val="0"/>
          <c:tx>
            <c:strRef>
              <c:f>'Næringstyper tid'!$B$1:$B$2</c:f>
              <c:strCache>
                <c:ptCount val="1"/>
                <c:pt idx="0">
                  <c:v>Basis</c:v>
                </c:pt>
              </c:strCache>
            </c:strRef>
          </c:tx>
          <c:spPr>
            <a:ln w="28575" cap="rnd">
              <a:solidFill>
                <a:srgbClr val="C00000"/>
              </a:solidFill>
              <a:prstDash val="solid"/>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'Næringstyper tid'!$A$3:$A$16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'Næringstyper tid'!$B$3:$B$16</c:f>
              <c:numCache>
                <c:formatCode>#,##0</c:formatCode>
                <c:ptCount val="14"/>
                <c:pt idx="0">
                  <c:v>474850</c:v>
                </c:pt>
                <c:pt idx="1">
                  <c:v>471580</c:v>
                </c:pt>
                <c:pt idx="2">
                  <c:v>473617</c:v>
                </c:pt>
                <c:pt idx="3">
                  <c:v>452496</c:v>
                </c:pt>
                <c:pt idx="4">
                  <c:v>444642</c:v>
                </c:pt>
                <c:pt idx="5">
                  <c:v>453270</c:v>
                </c:pt>
                <c:pt idx="6">
                  <c:v>471016</c:v>
                </c:pt>
                <c:pt idx="7">
                  <c:v>484480</c:v>
                </c:pt>
                <c:pt idx="8">
                  <c:v>488696</c:v>
                </c:pt>
                <c:pt idx="9">
                  <c:v>472504</c:v>
                </c:pt>
                <c:pt idx="10">
                  <c:v>466114</c:v>
                </c:pt>
                <c:pt idx="11">
                  <c:v>474590</c:v>
                </c:pt>
                <c:pt idx="12">
                  <c:v>484709</c:v>
                </c:pt>
                <c:pt idx="13">
                  <c:v>492091</c:v>
                </c:pt>
              </c:numCache>
            </c:numRef>
          </c:val>
        </c:ser>
        <c:ser>
          <c:idx val="1"/>
          <c:order val="1"/>
          <c:tx>
            <c:strRef>
              <c:f>'Næringstyper tid'!$C$1:$C$2</c:f>
              <c:strCache>
                <c:ptCount val="1"/>
                <c:pt idx="0">
                  <c:v>Besøk</c:v>
                </c:pt>
              </c:strCache>
            </c:strRef>
          </c:tx>
          <c:spPr>
            <a:ln w="28575" cap="rnd">
              <a:solidFill>
                <a:srgbClr val="00B050"/>
              </a:solidFill>
              <a:prstDash val="solid"/>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'Næringstyper tid'!$A$3:$A$16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'Næringstyper tid'!$C$3:$C$16</c:f>
              <c:numCache>
                <c:formatCode>#,##0</c:formatCode>
                <c:ptCount val="14"/>
                <c:pt idx="0">
                  <c:v>330541</c:v>
                </c:pt>
                <c:pt idx="1">
                  <c:v>332425</c:v>
                </c:pt>
                <c:pt idx="2">
                  <c:v>338168</c:v>
                </c:pt>
                <c:pt idx="3">
                  <c:v>337386</c:v>
                </c:pt>
                <c:pt idx="4">
                  <c:v>345350</c:v>
                </c:pt>
                <c:pt idx="5">
                  <c:v>352691</c:v>
                </c:pt>
                <c:pt idx="6">
                  <c:v>361509</c:v>
                </c:pt>
                <c:pt idx="7">
                  <c:v>381517</c:v>
                </c:pt>
                <c:pt idx="8">
                  <c:v>379767</c:v>
                </c:pt>
                <c:pt idx="9">
                  <c:v>371129</c:v>
                </c:pt>
                <c:pt idx="10">
                  <c:v>374683</c:v>
                </c:pt>
                <c:pt idx="11">
                  <c:v>379206</c:v>
                </c:pt>
                <c:pt idx="12">
                  <c:v>376572</c:v>
                </c:pt>
                <c:pt idx="13">
                  <c:v>376104</c:v>
                </c:pt>
              </c:numCache>
            </c:numRef>
          </c:val>
        </c:ser>
        <c:ser>
          <c:idx val="2"/>
          <c:order val="2"/>
          <c:tx>
            <c:strRef>
              <c:f>'Næringstyper tid'!$D$1:$D$2</c:f>
              <c:strCache>
                <c:ptCount val="1"/>
                <c:pt idx="0">
                  <c:v>Fylke og stat</c:v>
                </c:pt>
              </c:strCache>
            </c:strRef>
          </c:tx>
          <c:spPr>
            <a:ln w="28575" cap="rnd">
              <a:solidFill>
                <a:srgbClr val="FFC000"/>
              </a:solidFill>
              <a:prstDash val="solid"/>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'Næringstyper tid'!$A$3:$A$16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'Næringstyper tid'!$D$3:$D$16</c:f>
              <c:numCache>
                <c:formatCode>#,##0</c:formatCode>
                <c:ptCount val="14"/>
                <c:pt idx="0">
                  <c:v>273218</c:v>
                </c:pt>
                <c:pt idx="1">
                  <c:v>267056</c:v>
                </c:pt>
                <c:pt idx="2">
                  <c:v>282920</c:v>
                </c:pt>
                <c:pt idx="3">
                  <c:v>286934</c:v>
                </c:pt>
                <c:pt idx="4">
                  <c:v>287113</c:v>
                </c:pt>
                <c:pt idx="5">
                  <c:v>288679</c:v>
                </c:pt>
                <c:pt idx="6">
                  <c:v>294532</c:v>
                </c:pt>
                <c:pt idx="7">
                  <c:v>296477</c:v>
                </c:pt>
                <c:pt idx="8">
                  <c:v>295433</c:v>
                </c:pt>
                <c:pt idx="9">
                  <c:v>305209</c:v>
                </c:pt>
                <c:pt idx="10">
                  <c:v>310059</c:v>
                </c:pt>
                <c:pt idx="11">
                  <c:v>316172</c:v>
                </c:pt>
                <c:pt idx="12">
                  <c:v>319994</c:v>
                </c:pt>
                <c:pt idx="13">
                  <c:v>329420</c:v>
                </c:pt>
              </c:numCache>
            </c:numRef>
          </c:val>
        </c:ser>
        <c:ser>
          <c:idx val="3"/>
          <c:order val="3"/>
          <c:tx>
            <c:strRef>
              <c:f>'Næringstyper tid'!$E$1:$E$2</c:f>
              <c:strCache>
                <c:ptCount val="1"/>
                <c:pt idx="0">
                  <c:v>Lokal og kommune</c:v>
                </c:pt>
              </c:strCache>
            </c:strRef>
          </c:tx>
          <c:spPr>
            <a:ln w="28575" cap="rnd">
              <a:solidFill>
                <a:schemeClr val="accent4"/>
              </a:solidFill>
              <a:prstDash val="solid"/>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'Næringstyper tid'!$A$3:$A$16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'Næringstyper tid'!$E$3:$E$16</c:f>
              <c:numCache>
                <c:formatCode>#,##0</c:formatCode>
                <c:ptCount val="14"/>
                <c:pt idx="0">
                  <c:v>472459</c:v>
                </c:pt>
                <c:pt idx="1">
                  <c:v>481896</c:v>
                </c:pt>
                <c:pt idx="2">
                  <c:v>464559</c:v>
                </c:pt>
                <c:pt idx="3">
                  <c:v>479647</c:v>
                </c:pt>
                <c:pt idx="4">
                  <c:v>486351</c:v>
                </c:pt>
                <c:pt idx="5">
                  <c:v>487789</c:v>
                </c:pt>
                <c:pt idx="6">
                  <c:v>499151</c:v>
                </c:pt>
                <c:pt idx="7">
                  <c:v>515746</c:v>
                </c:pt>
                <c:pt idx="8">
                  <c:v>523522</c:v>
                </c:pt>
                <c:pt idx="9">
                  <c:v>536134</c:v>
                </c:pt>
                <c:pt idx="10">
                  <c:v>549653</c:v>
                </c:pt>
                <c:pt idx="11">
                  <c:v>562905</c:v>
                </c:pt>
                <c:pt idx="12">
                  <c:v>563899</c:v>
                </c:pt>
                <c:pt idx="13">
                  <c:v>573451</c:v>
                </c:pt>
              </c:numCache>
            </c:numRef>
          </c:val>
        </c:ser>
        <c:ser>
          <c:idx val="4"/>
          <c:order val="4"/>
          <c:tx>
            <c:strRef>
              <c:f>'Næringstyper tid'!$F$1:$F$2</c:f>
              <c:strCache>
                <c:ptCount val="1"/>
                <c:pt idx="0">
                  <c:v>Regional</c:v>
                </c:pt>
              </c:strCache>
            </c:strRef>
          </c:tx>
          <c:spPr>
            <a:ln w="28575" cap="rnd">
              <a:solidFill>
                <a:srgbClr val="00B0F0"/>
              </a:solidFill>
              <a:prstDash val="solid"/>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'Næringstyper tid'!$A$3:$A$16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'Næringstyper tid'!$F$3:$F$16</c:f>
              <c:numCache>
                <c:formatCode>#,##0</c:formatCode>
                <c:ptCount val="14"/>
                <c:pt idx="0">
                  <c:v>710932</c:v>
                </c:pt>
                <c:pt idx="1">
                  <c:v>722043</c:v>
                </c:pt>
                <c:pt idx="2">
                  <c:v>707736</c:v>
                </c:pt>
                <c:pt idx="3">
                  <c:v>703537</c:v>
                </c:pt>
                <c:pt idx="4">
                  <c:v>710544</c:v>
                </c:pt>
                <c:pt idx="5">
                  <c:v>725571</c:v>
                </c:pt>
                <c:pt idx="6">
                  <c:v>762792</c:v>
                </c:pt>
                <c:pt idx="7">
                  <c:v>805780</c:v>
                </c:pt>
                <c:pt idx="8">
                  <c:v>837582</c:v>
                </c:pt>
                <c:pt idx="9">
                  <c:v>812024</c:v>
                </c:pt>
                <c:pt idx="10">
                  <c:v>816491</c:v>
                </c:pt>
                <c:pt idx="11">
                  <c:v>829127</c:v>
                </c:pt>
                <c:pt idx="12">
                  <c:v>843826</c:v>
                </c:pt>
                <c:pt idx="13">
                  <c:v>847934</c:v>
                </c:pt>
              </c:numCache>
            </c:numRef>
          </c:val>
        </c:ser>
        <c:marker val="1"/>
        <c:axId val="237574400"/>
        <c:axId val="237584384"/>
      </c:lineChart>
      <c:catAx>
        <c:axId val="237574400"/>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37584384"/>
        <c:crosses val="autoZero"/>
        <c:auto val="1"/>
        <c:lblAlgn val="ctr"/>
        <c:lblOffset val="100"/>
      </c:catAx>
      <c:valAx>
        <c:axId val="237584384"/>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37574400"/>
        <c:crosses val="autoZero"/>
        <c:crossBetween val="between"/>
      </c:valAx>
      <c:spPr>
        <a:noFill/>
        <a:ln>
          <a:noFill/>
        </a:ln>
        <a:effectLst/>
      </c:spPr>
    </c:plotArea>
    <c:legend>
      <c:legendPos val="t"/>
      <c:layout>
        <c:manualLayout>
          <c:xMode val="edge"/>
          <c:yMode val="edge"/>
          <c:x val="2.1818832284947486E-3"/>
          <c:y val="2.7707218908627944E-3"/>
          <c:w val="0.99781811677150523"/>
          <c:h val="0.12010686696149768"/>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pivotSource>
    <c:name>[Copy of Norge 2014 Marit drodling.xlsx]Næringstyper tid!Indeks</c:name>
    <c:fmtId val="-1"/>
  </c:pivotSource>
  <c:chart>
    <c:pivotFmts>
      <c:pivotFmt>
        <c:idx val="0"/>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w="28575" cap="rnd">
            <a:solidFill>
              <a:schemeClr val="accent4"/>
            </a:solidFill>
            <a:round/>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w="28575" cap="rnd">
            <a:solidFill>
              <a:srgbClr val="FFC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7"/>
        <c:spPr>
          <a:solidFill>
            <a:schemeClr val="accent1"/>
          </a:solidFill>
          <a:ln w="28575" cap="rnd">
            <a:solidFill>
              <a:schemeClr val="accent6"/>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9"/>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13"/>
        <c:spPr>
          <a:solidFill>
            <a:schemeClr val="accent1"/>
          </a:solidFill>
          <a:ln w="28575" cap="rnd">
            <a:solidFill>
              <a:schemeClr val="accent6"/>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4"/>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15"/>
        <c:spPr>
          <a:solidFill>
            <a:schemeClr val="accent1"/>
          </a:solidFill>
          <a:ln w="28575" cap="rnd">
            <a:solidFill>
              <a:srgbClr val="FFC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7"/>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0"/>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21"/>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2"/>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23"/>
        <c:spPr>
          <a:solidFill>
            <a:schemeClr val="accent1"/>
          </a:solidFill>
          <a:ln w="28575" cap="rnd">
            <a:solidFill>
              <a:schemeClr val="accent6"/>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4"/>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25"/>
        <c:spPr>
          <a:solidFill>
            <a:schemeClr val="accent1"/>
          </a:solidFill>
          <a:ln w="28575" cap="rnd">
            <a:solidFill>
              <a:srgbClr val="FFC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7"/>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s>
    <c:plotArea>
      <c:layout>
        <c:manualLayout>
          <c:layoutTarget val="inner"/>
          <c:xMode val="edge"/>
          <c:yMode val="edge"/>
          <c:x val="8.4491315841837486E-2"/>
          <c:y val="0.16403075483620108"/>
          <c:w val="0.8084622582168377"/>
          <c:h val="0.70926928404782741"/>
        </c:manualLayout>
      </c:layout>
      <c:lineChart>
        <c:grouping val="standard"/>
        <c:ser>
          <c:idx val="0"/>
          <c:order val="0"/>
          <c:tx>
            <c:strRef>
              <c:f>'Næringstyper tid'!$H$1:$H$2</c:f>
              <c:strCache>
                <c:ptCount val="1"/>
                <c:pt idx="0">
                  <c:v>Basis</c:v>
                </c:pt>
              </c:strCache>
            </c:strRef>
          </c:tx>
          <c:spPr>
            <a:ln w="28575" cap="rnd">
              <a:solidFill>
                <a:srgbClr val="C00000"/>
              </a:solidFill>
              <a:prstDash val="solid"/>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'Næringstyper tid'!$G$3:$G$16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'Næringstyper tid'!$H$3:$H$16</c:f>
              <c:numCache>
                <c:formatCode>#,##0.0</c:formatCode>
                <c:ptCount val="14"/>
                <c:pt idx="0">
                  <c:v>100</c:v>
                </c:pt>
                <c:pt idx="1">
                  <c:v>99.311361482573446</c:v>
                </c:pt>
                <c:pt idx="2">
                  <c:v>99.740339054438238</c:v>
                </c:pt>
                <c:pt idx="3">
                  <c:v>95.292408128882784</c:v>
                </c:pt>
                <c:pt idx="4">
                  <c:v>93.638412130146307</c:v>
                </c:pt>
                <c:pt idx="5">
                  <c:v>95.455406970622278</c:v>
                </c:pt>
                <c:pt idx="6">
                  <c:v>99.192587132778712</c:v>
                </c:pt>
                <c:pt idx="7">
                  <c:v>102.02800884489835</c:v>
                </c:pt>
                <c:pt idx="8">
                  <c:v>102.91586816889544</c:v>
                </c:pt>
                <c:pt idx="9">
                  <c:v>99.505949247130673</c:v>
                </c:pt>
                <c:pt idx="10">
                  <c:v>98.160261135095283</c:v>
                </c:pt>
                <c:pt idx="11">
                  <c:v>99.945245867115958</c:v>
                </c:pt>
                <c:pt idx="12">
                  <c:v>102.07623460040013</c:v>
                </c:pt>
                <c:pt idx="13">
                  <c:v>103.63083078867011</c:v>
                </c:pt>
              </c:numCache>
            </c:numRef>
          </c:val>
        </c:ser>
        <c:ser>
          <c:idx val="1"/>
          <c:order val="1"/>
          <c:tx>
            <c:strRef>
              <c:f>'Næringstyper tid'!$I$1:$I$2</c:f>
              <c:strCache>
                <c:ptCount val="1"/>
                <c:pt idx="0">
                  <c:v>Besøk</c:v>
                </c:pt>
              </c:strCache>
            </c:strRef>
          </c:tx>
          <c:spPr>
            <a:ln w="28575" cap="rnd">
              <a:solidFill>
                <a:schemeClr val="accent6"/>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'Næringstyper tid'!$G$3:$G$16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'Næringstyper tid'!$I$3:$I$16</c:f>
              <c:numCache>
                <c:formatCode>#,##0.0</c:formatCode>
                <c:ptCount val="14"/>
                <c:pt idx="0">
                  <c:v>100</c:v>
                </c:pt>
                <c:pt idx="1">
                  <c:v>100.56997467787657</c:v>
                </c:pt>
                <c:pt idx="2">
                  <c:v>102.30742933554384</c:v>
                </c:pt>
                <c:pt idx="3">
                  <c:v>102.07084748941887</c:v>
                </c:pt>
                <c:pt idx="4">
                  <c:v>104.48023089420072</c:v>
                </c:pt>
                <c:pt idx="5">
                  <c:v>106.70113541134083</c:v>
                </c:pt>
                <c:pt idx="6">
                  <c:v>109.3688831340136</c:v>
                </c:pt>
                <c:pt idx="7">
                  <c:v>115.42199001031642</c:v>
                </c:pt>
                <c:pt idx="8">
                  <c:v>114.89255493267098</c:v>
                </c:pt>
                <c:pt idx="9">
                  <c:v>112.27926338941315</c:v>
                </c:pt>
                <c:pt idx="10">
                  <c:v>113.35447039852843</c:v>
                </c:pt>
                <c:pt idx="11">
                  <c:v>114.72283317349431</c:v>
                </c:pt>
                <c:pt idx="12">
                  <c:v>113.92595774805547</c:v>
                </c:pt>
                <c:pt idx="13">
                  <c:v>113.78437168157657</c:v>
                </c:pt>
              </c:numCache>
            </c:numRef>
          </c:val>
        </c:ser>
        <c:ser>
          <c:idx val="2"/>
          <c:order val="2"/>
          <c:tx>
            <c:strRef>
              <c:f>'Næringstyper tid'!$J$1:$J$2</c:f>
              <c:strCache>
                <c:ptCount val="1"/>
                <c:pt idx="0">
                  <c:v>Fylke og stat</c:v>
                </c:pt>
              </c:strCache>
            </c:strRef>
          </c:tx>
          <c:spPr>
            <a:ln w="28575" cap="rnd">
              <a:solidFill>
                <a:srgbClr val="FFC000"/>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'Næringstyper tid'!$G$3:$G$16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'Næringstyper tid'!$J$3:$J$16</c:f>
              <c:numCache>
                <c:formatCode>#,##0.0</c:formatCode>
                <c:ptCount val="14"/>
                <c:pt idx="0">
                  <c:v>100</c:v>
                </c:pt>
                <c:pt idx="1">
                  <c:v>97.744658111837467</c:v>
                </c:pt>
                <c:pt idx="2">
                  <c:v>103.55101054835333</c:v>
                </c:pt>
                <c:pt idx="3">
                  <c:v>105.02016704609505</c:v>
                </c:pt>
                <c:pt idx="4">
                  <c:v>105.08568249529678</c:v>
                </c:pt>
                <c:pt idx="5">
                  <c:v>105.65885117378791</c:v>
                </c:pt>
                <c:pt idx="6">
                  <c:v>107.80109656025591</c:v>
                </c:pt>
                <c:pt idx="7">
                  <c:v>108.5129823071686</c:v>
                </c:pt>
                <c:pt idx="8">
                  <c:v>108.13086985484118</c:v>
                </c:pt>
                <c:pt idx="9">
                  <c:v>111.70896500230586</c:v>
                </c:pt>
                <c:pt idx="10">
                  <c:v>113.48410426838645</c:v>
                </c:pt>
                <c:pt idx="11">
                  <c:v>115.72151175984015</c:v>
                </c:pt>
                <c:pt idx="12">
                  <c:v>117.1203947031308</c:v>
                </c:pt>
                <c:pt idx="13">
                  <c:v>120.57038701696075</c:v>
                </c:pt>
              </c:numCache>
            </c:numRef>
          </c:val>
        </c:ser>
        <c:ser>
          <c:idx val="3"/>
          <c:order val="3"/>
          <c:tx>
            <c:strRef>
              <c:f>'Næringstyper tid'!$K$1:$K$2</c:f>
              <c:strCache>
                <c:ptCount val="1"/>
                <c:pt idx="0">
                  <c:v>Lokal og kommune</c:v>
                </c:pt>
              </c:strCache>
            </c:strRef>
          </c:tx>
          <c:spPr>
            <a:ln w="28575" cap="rnd">
              <a:solidFill>
                <a:schemeClr val="accent4"/>
              </a:solidFill>
              <a:round/>
            </a:ln>
            <a:effectLst/>
          </c:spPr>
          <c:marker>
            <c:symbol val="none"/>
          </c:marker>
          <c:dLbls>
            <c:dLbl>
              <c:idx val="13"/>
              <c:layout>
                <c:manualLayout>
                  <c:x val="0"/>
                  <c:y val="-2.7006172839506216E-2"/>
                </c:manualLayout>
              </c:layout>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'Næringstyper tid'!$G$3:$G$16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'Næringstyper tid'!$K$3:$K$16</c:f>
              <c:numCache>
                <c:formatCode>#,##0.0</c:formatCode>
                <c:ptCount val="14"/>
                <c:pt idx="0">
                  <c:v>100</c:v>
                </c:pt>
                <c:pt idx="1">
                  <c:v>101.99742199852265</c:v>
                </c:pt>
                <c:pt idx="2">
                  <c:v>98.327897235527288</c:v>
                </c:pt>
                <c:pt idx="3">
                  <c:v>101.52140185709233</c:v>
                </c:pt>
                <c:pt idx="4">
                  <c:v>102.94036096253856</c:v>
                </c:pt>
                <c:pt idx="5">
                  <c:v>103.24472599738816</c:v>
                </c:pt>
                <c:pt idx="6">
                  <c:v>105.64959075813987</c:v>
                </c:pt>
                <c:pt idx="7">
                  <c:v>109.16206485642135</c:v>
                </c:pt>
                <c:pt idx="8">
                  <c:v>110.80792195724922</c:v>
                </c:pt>
                <c:pt idx="9">
                  <c:v>113.47735994022764</c:v>
                </c:pt>
                <c:pt idx="10">
                  <c:v>116.33877225325365</c:v>
                </c:pt>
                <c:pt idx="11">
                  <c:v>119.1436717260122</c:v>
                </c:pt>
                <c:pt idx="12">
                  <c:v>119.35406035232684</c:v>
                </c:pt>
                <c:pt idx="13">
                  <c:v>121.37582308729435</c:v>
                </c:pt>
              </c:numCache>
            </c:numRef>
          </c:val>
        </c:ser>
        <c:ser>
          <c:idx val="4"/>
          <c:order val="4"/>
          <c:tx>
            <c:strRef>
              <c:f>'Næringstyper tid'!$L$1:$L$2</c:f>
              <c:strCache>
                <c:ptCount val="1"/>
                <c:pt idx="0">
                  <c:v>Regional</c:v>
                </c:pt>
              </c:strCache>
            </c:strRef>
          </c:tx>
          <c:spPr>
            <a:ln w="28575" cap="rnd">
              <a:solidFill>
                <a:schemeClr val="accent1"/>
              </a:solidFill>
              <a:round/>
            </a:ln>
            <a:effectLst/>
          </c:spPr>
          <c:marker>
            <c:symbol val="none"/>
          </c:marker>
          <c:dLbls>
            <c:dLbl>
              <c:idx val="13"/>
              <c:layout>
                <c:manualLayout>
                  <c:x val="0"/>
                  <c:y val="2.3148148148148109E-2"/>
                </c:manualLayout>
              </c:layout>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'Næringstyper tid'!$G$3:$G$16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'Næringstyper tid'!$L$3:$L$16</c:f>
              <c:numCache>
                <c:formatCode>#,##0.0</c:formatCode>
                <c:ptCount val="14"/>
                <c:pt idx="0">
                  <c:v>100</c:v>
                </c:pt>
                <c:pt idx="1">
                  <c:v>101.56287802490249</c:v>
                </c:pt>
                <c:pt idx="2">
                  <c:v>99.550449269409739</c:v>
                </c:pt>
                <c:pt idx="3">
                  <c:v>98.959816128687379</c:v>
                </c:pt>
                <c:pt idx="4">
                  <c:v>99.945423753607969</c:v>
                </c:pt>
                <c:pt idx="5">
                  <c:v>102.05912801786947</c:v>
                </c:pt>
                <c:pt idx="6">
                  <c:v>107.29464983992845</c:v>
                </c:pt>
                <c:pt idx="7">
                  <c:v>113.34136035513946</c:v>
                </c:pt>
                <c:pt idx="8">
                  <c:v>117.81464331328451</c:v>
                </c:pt>
                <c:pt idx="9">
                  <c:v>114.21964407285085</c:v>
                </c:pt>
                <c:pt idx="10">
                  <c:v>114.84797420850377</c:v>
                </c:pt>
                <c:pt idx="11">
                  <c:v>116.62535938739568</c:v>
                </c:pt>
                <c:pt idx="12">
                  <c:v>118.6929270309959</c:v>
                </c:pt>
                <c:pt idx="13">
                  <c:v>119.27076007269326</c:v>
                </c:pt>
              </c:numCache>
            </c:numRef>
          </c:val>
        </c:ser>
        <c:marker val="1"/>
        <c:axId val="239347968"/>
        <c:axId val="239370240"/>
      </c:lineChart>
      <c:catAx>
        <c:axId val="239347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39370240"/>
        <c:crosses val="autoZero"/>
        <c:auto val="1"/>
        <c:lblAlgn val="ctr"/>
        <c:lblOffset val="100"/>
      </c:catAx>
      <c:valAx>
        <c:axId val="239370240"/>
        <c:scaling>
          <c:orientation val="minMax"/>
          <c:min val="90"/>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39347968"/>
        <c:crosses val="autoZero"/>
        <c:crossBetween val="between"/>
      </c:valAx>
      <c:spPr>
        <a:noFill/>
        <a:ln>
          <a:noFill/>
        </a:ln>
        <a:effectLst/>
      </c:spPr>
    </c:plotArea>
    <c:legend>
      <c:legendPos val="t"/>
      <c:layout>
        <c:manualLayout>
          <c:xMode val="edge"/>
          <c:yMode val="edge"/>
          <c:x val="1.6364849724609862E-3"/>
          <c:y val="0"/>
          <c:w val="0.99672668157020317"/>
          <c:h val="0.14674680421891709"/>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pivotSource>
    <c:name>[Glåmdal grunnmur.xlsx]LQ!LQ</c:name>
    <c:fmtId val="38"/>
  </c:pivotSource>
  <c:chart>
    <c:autoTitleDeleted val="1"/>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
        <c:spPr>
          <a:solidFill>
            <a:schemeClr val="accent6"/>
          </a:solidFill>
          <a:ln>
            <a:noFill/>
          </a:ln>
          <a:effectLst/>
        </c:spPr>
      </c:pivotFmt>
      <c:pivotFmt>
        <c:idx val="2"/>
        <c:spPr>
          <a:solidFill>
            <a:schemeClr val="accent6"/>
          </a:solidFill>
          <a:ln>
            <a:noFill/>
          </a:ln>
          <a:effectLst/>
        </c:spPr>
      </c:pivotFmt>
      <c:pivotFmt>
        <c:idx val="3"/>
        <c:spPr>
          <a:solidFill>
            <a:schemeClr val="accent6"/>
          </a:solidFill>
          <a:ln>
            <a:noFill/>
          </a:ln>
          <a:effectLst/>
        </c:spPr>
      </c:pivotFmt>
      <c:pivotFmt>
        <c:idx val="4"/>
        <c:spPr>
          <a:solidFill>
            <a:schemeClr val="accent6"/>
          </a:solidFill>
          <a:ln>
            <a:noFill/>
          </a:ln>
          <a:effectLst/>
        </c:spPr>
      </c:pivotFmt>
      <c:pivotFmt>
        <c:idx val="5"/>
        <c:spPr>
          <a:solidFill>
            <a:schemeClr val="accent4">
              <a:lumMod val="60000"/>
              <a:lumOff val="40000"/>
            </a:schemeClr>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2"/>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4"/>
        <c:spPr>
          <a:solidFill>
            <a:schemeClr val="accent6"/>
          </a:solidFill>
          <a:ln>
            <a:noFill/>
          </a:ln>
          <a:effectLst/>
        </c:spPr>
      </c:pivotFmt>
      <c:pivotFmt>
        <c:idx val="15"/>
        <c:spPr>
          <a:solidFill>
            <a:schemeClr val="accent6"/>
          </a:solidFill>
          <a:ln>
            <a:noFill/>
          </a:ln>
          <a:effectLst/>
        </c:spPr>
      </c:pivotFmt>
      <c:pivotFmt>
        <c:idx val="16"/>
        <c:spPr>
          <a:solidFill>
            <a:schemeClr val="accent6"/>
          </a:solidFill>
          <a:ln>
            <a:noFill/>
          </a:ln>
          <a:effectLst/>
        </c:spPr>
      </c:pivotFmt>
      <c:pivotFmt>
        <c:idx val="17"/>
        <c:spPr>
          <a:solidFill>
            <a:schemeClr val="accent6"/>
          </a:solidFill>
          <a:ln>
            <a:noFill/>
          </a:ln>
          <a:effectLst/>
        </c:spPr>
      </c:pivotFmt>
      <c:pivotFmt>
        <c:idx val="18"/>
        <c:spPr>
          <a:solidFill>
            <a:schemeClr val="accent4">
              <a:lumMod val="60000"/>
              <a:lumOff val="40000"/>
            </a:schemeClr>
          </a:solidFill>
          <a:ln>
            <a:noFill/>
          </a:ln>
          <a:effectLst/>
        </c:spPr>
      </c:pivotFmt>
      <c:pivotFmt>
        <c:idx val="19"/>
        <c:spPr>
          <a:solidFill>
            <a:schemeClr val="accent1"/>
          </a:solidFill>
          <a:ln>
            <a:noFill/>
          </a:ln>
          <a:effectLst/>
        </c:spPr>
      </c:pivotFmt>
      <c:pivotFmt>
        <c:idx val="20"/>
        <c:spPr>
          <a:solidFill>
            <a:schemeClr val="accent1"/>
          </a:solidFill>
          <a:ln>
            <a:noFill/>
          </a:ln>
          <a:effectLst/>
        </c:spPr>
      </c:pivotFmt>
      <c:pivotFmt>
        <c:idx val="21"/>
        <c:spPr>
          <a:solidFill>
            <a:schemeClr val="accent1"/>
          </a:solidFill>
          <a:ln>
            <a:noFill/>
          </a:ln>
          <a:effectLst/>
        </c:spPr>
      </c:pivotFmt>
      <c:pivotFmt>
        <c:idx val="22"/>
        <c:spPr>
          <a:solidFill>
            <a:schemeClr val="accent1"/>
          </a:solidFill>
          <a:ln>
            <a:noFill/>
          </a:ln>
          <a:effectLst/>
        </c:spPr>
      </c:pivotFmt>
      <c:pivotFmt>
        <c:idx val="23"/>
        <c:spPr>
          <a:solidFill>
            <a:schemeClr val="accent1"/>
          </a:solidFill>
          <a:ln>
            <a:noFill/>
          </a:ln>
          <a:effectLst/>
        </c:spPr>
      </c:pivotFmt>
      <c:pivotFmt>
        <c:idx val="24"/>
        <c:spPr>
          <a:solidFill>
            <a:schemeClr val="accent1"/>
          </a:solidFill>
          <a:ln>
            <a:noFill/>
          </a:ln>
          <a:effectLst/>
        </c:spPr>
      </c:pivotFmt>
      <c:pivotFmt>
        <c:idx val="25"/>
        <c:spPr>
          <a:solidFill>
            <a:schemeClr val="accent1"/>
          </a:solidFill>
          <a:ln>
            <a:noFill/>
          </a:ln>
          <a:effectLst/>
        </c:spPr>
      </c:pivotFmt>
      <c:pivotFmt>
        <c:idx val="26"/>
        <c:spPr>
          <a:solidFill>
            <a:schemeClr val="accent2"/>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7"/>
        <c:spPr>
          <a:solidFill>
            <a:schemeClr val="accent6"/>
          </a:solidFill>
          <a:ln>
            <a:noFill/>
          </a:ln>
          <a:effectLst/>
        </c:spPr>
      </c:pivotFmt>
      <c:pivotFmt>
        <c:idx val="28"/>
        <c:spPr>
          <a:solidFill>
            <a:schemeClr val="accent6"/>
          </a:solidFill>
          <a:ln>
            <a:noFill/>
          </a:ln>
          <a:effectLst/>
        </c:spPr>
      </c:pivotFmt>
      <c:pivotFmt>
        <c:idx val="29"/>
        <c:spPr>
          <a:solidFill>
            <a:schemeClr val="accent6"/>
          </a:solidFill>
          <a:ln>
            <a:noFill/>
          </a:ln>
          <a:effectLst/>
        </c:spPr>
      </c:pivotFmt>
      <c:pivotFmt>
        <c:idx val="30"/>
        <c:spPr>
          <a:solidFill>
            <a:schemeClr val="accent6"/>
          </a:solidFill>
          <a:ln>
            <a:noFill/>
          </a:ln>
          <a:effectLst/>
        </c:spPr>
      </c:pivotFmt>
      <c:pivotFmt>
        <c:idx val="31"/>
        <c:spPr>
          <a:solidFill>
            <a:schemeClr val="accent4">
              <a:lumMod val="60000"/>
              <a:lumOff val="40000"/>
            </a:schemeClr>
          </a:solidFill>
          <a:ln>
            <a:noFill/>
          </a:ln>
          <a:effectLst/>
        </c:spPr>
      </c:pivotFmt>
      <c:pivotFmt>
        <c:idx val="32"/>
        <c:spPr>
          <a:solidFill>
            <a:schemeClr val="accent1"/>
          </a:solidFill>
          <a:ln>
            <a:noFill/>
          </a:ln>
          <a:effectLst/>
        </c:spPr>
      </c:pivotFmt>
      <c:pivotFmt>
        <c:idx val="33"/>
        <c:spPr>
          <a:solidFill>
            <a:schemeClr val="accent1"/>
          </a:solidFill>
          <a:ln>
            <a:noFill/>
          </a:ln>
          <a:effectLst/>
        </c:spPr>
      </c:pivotFmt>
      <c:pivotFmt>
        <c:idx val="34"/>
        <c:spPr>
          <a:solidFill>
            <a:schemeClr val="accent1"/>
          </a:solidFill>
          <a:ln>
            <a:noFill/>
          </a:ln>
          <a:effectLst/>
        </c:spPr>
      </c:pivotFmt>
      <c:pivotFmt>
        <c:idx val="35"/>
        <c:spPr>
          <a:solidFill>
            <a:schemeClr val="accent1"/>
          </a:solidFill>
          <a:ln>
            <a:noFill/>
          </a:ln>
          <a:effectLst/>
        </c:spPr>
      </c:pivotFmt>
      <c:pivotFmt>
        <c:idx val="36"/>
        <c:spPr>
          <a:solidFill>
            <a:schemeClr val="accent1"/>
          </a:solidFill>
          <a:ln>
            <a:noFill/>
          </a:ln>
          <a:effectLst/>
        </c:spPr>
      </c:pivotFmt>
      <c:pivotFmt>
        <c:idx val="37"/>
        <c:spPr>
          <a:solidFill>
            <a:schemeClr val="accent1"/>
          </a:solidFill>
          <a:ln>
            <a:noFill/>
          </a:ln>
          <a:effectLst/>
        </c:spPr>
      </c:pivotFmt>
      <c:pivotFmt>
        <c:idx val="38"/>
        <c:spPr>
          <a:solidFill>
            <a:schemeClr val="accent1"/>
          </a:solidFill>
          <a:ln>
            <a:noFill/>
          </a:ln>
          <a:effectLst/>
        </c:spPr>
      </c:pivotFmt>
    </c:pivotFmts>
    <c:plotArea>
      <c:layout/>
      <c:barChart>
        <c:barDir val="bar"/>
        <c:grouping val="clustered"/>
        <c:ser>
          <c:idx val="0"/>
          <c:order val="0"/>
          <c:tx>
            <c:strRef>
              <c:f>LQ!$G$17</c:f>
              <c:strCache>
                <c:ptCount val="1"/>
                <c:pt idx="0">
                  <c:v>Totalt</c:v>
                </c:pt>
              </c:strCache>
            </c:strRef>
          </c:tx>
          <c:spPr>
            <a:solidFill>
              <a:schemeClr val="accent2"/>
            </a:solidFill>
            <a:ln>
              <a:noFill/>
            </a:ln>
            <a:effectLst/>
          </c:spPr>
          <c:dPt>
            <c:idx val="11"/>
            <c:spPr>
              <a:solidFill>
                <a:schemeClr val="accent6"/>
              </a:solidFill>
              <a:ln>
                <a:noFill/>
              </a:ln>
              <a:effectLst/>
            </c:spPr>
          </c:dPt>
          <c:dPt>
            <c:idx val="12"/>
            <c:spPr>
              <a:solidFill>
                <a:schemeClr val="accent6"/>
              </a:solidFill>
              <a:ln>
                <a:noFill/>
              </a:ln>
              <a:effectLst/>
            </c:spPr>
          </c:dPt>
          <c:dPt>
            <c:idx val="13"/>
            <c:spPr>
              <a:solidFill>
                <a:schemeClr val="accent6"/>
              </a:solidFill>
              <a:ln>
                <a:noFill/>
              </a:ln>
              <a:effectLst/>
            </c:spPr>
          </c:dPt>
          <c:dPt>
            <c:idx val="14"/>
            <c:spPr>
              <a:solidFill>
                <a:schemeClr val="accent6"/>
              </a:solidFill>
              <a:ln>
                <a:noFill/>
              </a:ln>
              <a:effectLst/>
            </c:spPr>
          </c:dPt>
          <c:dPt>
            <c:idx val="15"/>
            <c:spPr>
              <a:solidFill>
                <a:schemeClr val="accent4">
                  <a:lumMod val="60000"/>
                  <a:lumOff val="40000"/>
                </a:schemeClr>
              </a:solidFill>
              <a:ln>
                <a:noFill/>
              </a:ln>
              <a:effectLst/>
            </c:spPr>
          </c:dPt>
          <c:dPt>
            <c:idx val="16"/>
            <c:spPr>
              <a:solidFill>
                <a:schemeClr val="accent1"/>
              </a:solidFill>
              <a:ln>
                <a:noFill/>
              </a:ln>
              <a:effectLst/>
            </c:spPr>
          </c:dPt>
          <c:dPt>
            <c:idx val="17"/>
            <c:spPr>
              <a:solidFill>
                <a:schemeClr val="accent1"/>
              </a:solidFill>
              <a:ln>
                <a:noFill/>
              </a:ln>
              <a:effectLst/>
            </c:spPr>
          </c:dPt>
          <c:dPt>
            <c:idx val="18"/>
            <c:spPr>
              <a:solidFill>
                <a:schemeClr val="accent1"/>
              </a:solidFill>
              <a:ln>
                <a:noFill/>
              </a:ln>
              <a:effectLst/>
            </c:spPr>
          </c:dPt>
          <c:dPt>
            <c:idx val="19"/>
            <c:spPr>
              <a:solidFill>
                <a:schemeClr val="accent1"/>
              </a:solidFill>
              <a:ln>
                <a:noFill/>
              </a:ln>
              <a:effectLst/>
            </c:spPr>
          </c:dPt>
          <c:dPt>
            <c:idx val="20"/>
            <c:spPr>
              <a:solidFill>
                <a:schemeClr val="accent1"/>
              </a:solidFill>
              <a:ln>
                <a:noFill/>
              </a:ln>
              <a:effectLst/>
            </c:spPr>
          </c:dPt>
          <c:dPt>
            <c:idx val="21"/>
            <c:spPr>
              <a:solidFill>
                <a:schemeClr val="accent1"/>
              </a:solidFill>
              <a:ln>
                <a:noFill/>
              </a:ln>
              <a:effectLst/>
            </c:spPr>
          </c:dPt>
          <c:dPt>
            <c:idx val="22"/>
            <c:spPr>
              <a:solidFill>
                <a:schemeClr val="accent1"/>
              </a:soli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LQ!$E$18:$F$40</c:f>
              <c:multiLvlStrCache>
                <c:ptCount val="23"/>
                <c:lvl>
                  <c:pt idx="0">
                    <c:v>Anna industri</c:v>
                  </c:pt>
                  <c:pt idx="1">
                    <c:v>Næringsmidler</c:v>
                  </c:pt>
                  <c:pt idx="2">
                    <c:v>Olje og gass utvinning</c:v>
                  </c:pt>
                  <c:pt idx="3">
                    <c:v>Prosessindustri</c:v>
                  </c:pt>
                  <c:pt idx="4">
                    <c:v>Verkstedindustri</c:v>
                  </c:pt>
                  <c:pt idx="5">
                    <c:v>Fisk</c:v>
                  </c:pt>
                  <c:pt idx="6">
                    <c:v>Gruve</c:v>
                  </c:pt>
                  <c:pt idx="7">
                    <c:v>Landbruk</c:v>
                  </c:pt>
                  <c:pt idx="8">
                    <c:v>Olje og gass</c:v>
                  </c:pt>
                  <c:pt idx="9">
                    <c:v>Teknisk/vitenskap</c:v>
                  </c:pt>
                  <c:pt idx="10">
                    <c:v>Tele og IKT</c:v>
                  </c:pt>
                  <c:pt idx="11">
                    <c:v>Aktivitet</c:v>
                  </c:pt>
                  <c:pt idx="12">
                    <c:v>Handel</c:v>
                  </c:pt>
                  <c:pt idx="13">
                    <c:v>Overnatting</c:v>
                  </c:pt>
                  <c:pt idx="14">
                    <c:v>Servering</c:v>
                  </c:pt>
                  <c:pt idx="15">
                    <c:v>Lokal</c:v>
                  </c:pt>
                  <c:pt idx="16">
                    <c:v>Agentur og Engros</c:v>
                  </c:pt>
                  <c:pt idx="17">
                    <c:v>Bygg og anlegg</c:v>
                  </c:pt>
                  <c:pt idx="18">
                    <c:v>Diverse</c:v>
                  </c:pt>
                  <c:pt idx="19">
                    <c:v>Finans, eiendom, uteie</c:v>
                  </c:pt>
                  <c:pt idx="20">
                    <c:v>Forr tjenesteyting</c:v>
                  </c:pt>
                  <c:pt idx="21">
                    <c:v>Transport</c:v>
                  </c:pt>
                  <c:pt idx="22">
                    <c:v>Utleie av arbeidskraft</c:v>
                  </c:pt>
                </c:lvl>
                <c:lvl>
                  <c:pt idx="0">
                    <c:v>Basis</c:v>
                  </c:pt>
                  <c:pt idx="11">
                    <c:v>Besøk</c:v>
                  </c:pt>
                  <c:pt idx="15">
                    <c:v>*</c:v>
                  </c:pt>
                  <c:pt idx="16">
                    <c:v>Regional</c:v>
                  </c:pt>
                </c:lvl>
              </c:multiLvlStrCache>
            </c:multiLvlStrRef>
          </c:cat>
          <c:val>
            <c:numRef>
              <c:f>LQ!$G$18:$G$40</c:f>
              <c:numCache>
                <c:formatCode>#,##0.0</c:formatCode>
                <c:ptCount val="23"/>
                <c:pt idx="0">
                  <c:v>2.0888465642900558</c:v>
                </c:pt>
                <c:pt idx="1">
                  <c:v>0.67055924613013485</c:v>
                </c:pt>
                <c:pt idx="2">
                  <c:v>0</c:v>
                </c:pt>
                <c:pt idx="3">
                  <c:v>1.196612807685818</c:v>
                </c:pt>
                <c:pt idx="4">
                  <c:v>0.51867359411248559</c:v>
                </c:pt>
                <c:pt idx="5">
                  <c:v>2.2056936406239364E-2</c:v>
                </c:pt>
                <c:pt idx="6">
                  <c:v>2.6351044407898874</c:v>
                </c:pt>
                <c:pt idx="7">
                  <c:v>3.3599966316839787</c:v>
                </c:pt>
                <c:pt idx="8">
                  <c:v>0</c:v>
                </c:pt>
                <c:pt idx="9">
                  <c:v>0.17899987062459194</c:v>
                </c:pt>
                <c:pt idx="10">
                  <c:v>0.30124595601914506</c:v>
                </c:pt>
                <c:pt idx="11">
                  <c:v>0.731407303899959</c:v>
                </c:pt>
                <c:pt idx="12">
                  <c:v>0.94546639614845918</c:v>
                </c:pt>
                <c:pt idx="13">
                  <c:v>0.56702650289534329</c:v>
                </c:pt>
                <c:pt idx="14">
                  <c:v>0.38521704362691733</c:v>
                </c:pt>
                <c:pt idx="15">
                  <c:v>0.76213981198272052</c:v>
                </c:pt>
                <c:pt idx="16">
                  <c:v>0.58180862123298227</c:v>
                </c:pt>
                <c:pt idx="17">
                  <c:v>0.89209593338518267</c:v>
                </c:pt>
                <c:pt idx="18">
                  <c:v>0.75630803107639133</c:v>
                </c:pt>
                <c:pt idx="19">
                  <c:v>0.57700887960264691</c:v>
                </c:pt>
                <c:pt idx="20">
                  <c:v>0.57701672232029133</c:v>
                </c:pt>
                <c:pt idx="21">
                  <c:v>0.73075829564869221</c:v>
                </c:pt>
                <c:pt idx="22">
                  <c:v>0.5408715674909641</c:v>
                </c:pt>
              </c:numCache>
            </c:numRef>
          </c:val>
        </c:ser>
        <c:gapWidth val="30"/>
        <c:axId val="240743936"/>
        <c:axId val="240745472"/>
      </c:barChart>
      <c:catAx>
        <c:axId val="24074393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0745472"/>
        <c:crosses val="autoZero"/>
        <c:auto val="1"/>
        <c:lblAlgn val="ctr"/>
        <c:lblOffset val="100"/>
      </c:catAx>
      <c:valAx>
        <c:axId val="240745472"/>
        <c:scaling>
          <c:orientation val="minMax"/>
        </c:scaling>
        <c:axPos val="t"/>
        <c:majorGridlines>
          <c:spPr>
            <a:ln w="9525" cap="flat" cmpd="sng" algn="ctr">
              <a:solidFill>
                <a:schemeClr val="tx1">
                  <a:lumMod val="15000"/>
                  <a:lumOff val="85000"/>
                </a:schemeClr>
              </a:solidFill>
              <a:round/>
            </a:ln>
            <a:effectLst/>
          </c:spPr>
        </c:majorGridlines>
        <c:numFmt formatCode="#,##0.0" sourceLinked="1"/>
        <c:maj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074393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nb-NO"/>
  <c:chart>
    <c:autoTitleDeleted val="1"/>
    <c:plotArea>
      <c:layout>
        <c:manualLayout>
          <c:layoutTarget val="inner"/>
          <c:xMode val="edge"/>
          <c:yMode val="edge"/>
          <c:x val="0.54912272329595158"/>
          <c:y val="3.7931034482758641E-2"/>
          <c:w val="0.39966531456295246"/>
          <c:h val="0.90944257398859651"/>
        </c:manualLayout>
      </c:layout>
      <c:barChart>
        <c:barDir val="bar"/>
        <c:grouping val="clustered"/>
        <c:ser>
          <c:idx val="2"/>
          <c:order val="0"/>
          <c:spPr>
            <a:solidFill>
              <a:schemeClr val="accent1"/>
            </a:solidFill>
            <a:ln>
              <a:noFill/>
            </a:ln>
            <a:effectLst/>
          </c:spPr>
          <c:dPt>
            <c:idx val="0"/>
            <c:spPr>
              <a:solidFill>
                <a:srgbClr val="C00000"/>
              </a:solidFill>
              <a:ln>
                <a:noFill/>
              </a:ln>
              <a:effectLst/>
            </c:spPr>
          </c:dPt>
          <c:dPt>
            <c:idx val="1"/>
            <c:spPr>
              <a:solidFill>
                <a:srgbClr val="C00000"/>
              </a:solidFill>
              <a:ln>
                <a:noFill/>
              </a:ln>
              <a:effectLst/>
            </c:spPr>
          </c:dPt>
          <c:dPt>
            <c:idx val="2"/>
            <c:spPr>
              <a:solidFill>
                <a:srgbClr val="C00000"/>
              </a:solidFill>
              <a:ln>
                <a:noFill/>
              </a:ln>
              <a:effectLst/>
            </c:spPr>
          </c:dPt>
          <c:dPt>
            <c:idx val="3"/>
            <c:spPr>
              <a:solidFill>
                <a:srgbClr val="C00000"/>
              </a:solidFill>
              <a:ln>
                <a:noFill/>
              </a:ln>
              <a:effectLst/>
            </c:spPr>
          </c:dPt>
          <c:dPt>
            <c:idx val="5"/>
            <c:spPr>
              <a:solidFill>
                <a:srgbClr val="FF0000"/>
              </a:solidFill>
              <a:ln>
                <a:noFill/>
              </a:ln>
              <a:effectLst/>
            </c:spPr>
          </c:dPt>
          <c:dPt>
            <c:idx val="6"/>
            <c:spPr>
              <a:solidFill>
                <a:srgbClr val="FF0000"/>
              </a:solidFill>
              <a:ln>
                <a:noFill/>
              </a:ln>
              <a:effectLst/>
            </c:spPr>
          </c:dPt>
          <c:dPt>
            <c:idx val="7"/>
            <c:spPr>
              <a:solidFill>
                <a:srgbClr val="FF0000"/>
              </a:solidFill>
              <a:ln>
                <a:noFill/>
              </a:ln>
              <a:effectLst/>
            </c:spPr>
          </c:dPt>
          <c:dPt>
            <c:idx val="8"/>
            <c:spPr>
              <a:solidFill>
                <a:srgbClr val="C00000"/>
              </a:solidFill>
              <a:ln>
                <a:noFill/>
              </a:ln>
              <a:effectLst/>
            </c:spPr>
          </c:dPt>
          <c:dPt>
            <c:idx val="9"/>
            <c:spPr>
              <a:solidFill>
                <a:srgbClr val="C00000"/>
              </a:solidFill>
              <a:ln>
                <a:noFill/>
              </a:ln>
              <a:effectLst/>
            </c:spPr>
          </c:dPt>
          <c:dPt>
            <c:idx val="10"/>
            <c:spPr>
              <a:solidFill>
                <a:srgbClr val="C00000"/>
              </a:solidFill>
              <a:ln>
                <a:noFill/>
              </a:ln>
              <a:effectLst/>
            </c:spPr>
          </c:dPt>
          <c:dPt>
            <c:idx val="11"/>
            <c:spPr>
              <a:solidFill>
                <a:srgbClr val="92D050"/>
              </a:solidFill>
              <a:ln>
                <a:noFill/>
              </a:ln>
              <a:effectLst/>
            </c:spPr>
          </c:dPt>
          <c:dPt>
            <c:idx val="12"/>
            <c:spPr>
              <a:solidFill>
                <a:srgbClr val="92D050"/>
              </a:solidFill>
              <a:ln>
                <a:noFill/>
              </a:ln>
              <a:effectLst/>
            </c:spPr>
          </c:dPt>
          <c:dPt>
            <c:idx val="13"/>
            <c:spPr>
              <a:solidFill>
                <a:srgbClr val="92D050"/>
              </a:solidFill>
              <a:ln>
                <a:noFill/>
              </a:ln>
              <a:effectLst/>
            </c:spPr>
          </c:dPt>
          <c:dPt>
            <c:idx val="14"/>
            <c:spPr>
              <a:solidFill>
                <a:srgbClr val="92D050"/>
              </a:solidFill>
              <a:ln>
                <a:noFill/>
              </a:ln>
              <a:effectLst/>
            </c:spPr>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'Ark3'!$A$2:$C$24</c:f>
              <c:multiLvlStrCache>
                <c:ptCount val="23"/>
                <c:lvl>
                  <c:pt idx="0">
                    <c:v>Anna industri</c:v>
                  </c:pt>
                  <c:pt idx="1">
                    <c:v>Næringsmidler</c:v>
                  </c:pt>
                  <c:pt idx="2">
                    <c:v>Olje og gass utvinning</c:v>
                  </c:pt>
                  <c:pt idx="3">
                    <c:v>Prosessindustri</c:v>
                  </c:pt>
                  <c:pt idx="4">
                    <c:v>Verkstedindustri</c:v>
                  </c:pt>
                  <c:pt idx="5">
                    <c:v>Fisk</c:v>
                  </c:pt>
                  <c:pt idx="6">
                    <c:v>Gruve</c:v>
                  </c:pt>
                  <c:pt idx="7">
                    <c:v>Landbruk</c:v>
                  </c:pt>
                  <c:pt idx="8">
                    <c:v>Olje og gass</c:v>
                  </c:pt>
                  <c:pt idx="9">
                    <c:v>Teknisk/vitenskap</c:v>
                  </c:pt>
                  <c:pt idx="10">
                    <c:v>Tele og IKT</c:v>
                  </c:pt>
                  <c:pt idx="11">
                    <c:v>Aktivitet</c:v>
                  </c:pt>
                  <c:pt idx="12">
                    <c:v>Handel</c:v>
                  </c:pt>
                  <c:pt idx="13">
                    <c:v>Overnatting</c:v>
                  </c:pt>
                  <c:pt idx="14">
                    <c:v>Servering</c:v>
                  </c:pt>
                  <c:pt idx="15">
                    <c:v>Lokal</c:v>
                  </c:pt>
                  <c:pt idx="16">
                    <c:v>Agentur og Engros</c:v>
                  </c:pt>
                  <c:pt idx="17">
                    <c:v>Bygg og anlegg</c:v>
                  </c:pt>
                  <c:pt idx="18">
                    <c:v>Diverse</c:v>
                  </c:pt>
                  <c:pt idx="19">
                    <c:v>Finans, eiendom, uteie</c:v>
                  </c:pt>
                  <c:pt idx="20">
                    <c:v>Forr tjenesteyting</c:v>
                  </c:pt>
                  <c:pt idx="21">
                    <c:v>Transport</c:v>
                  </c:pt>
                  <c:pt idx="22">
                    <c:v>Utleie av arbeidskraft</c:v>
                  </c:pt>
                </c:lvl>
                <c:lvl>
                  <c:pt idx="0">
                    <c:v>Industri</c:v>
                  </c:pt>
                  <c:pt idx="5">
                    <c:v>Natur</c:v>
                  </c:pt>
                  <c:pt idx="8">
                    <c:v>Tekn tjenester</c:v>
                  </c:pt>
                </c:lvl>
                <c:lvl>
                  <c:pt idx="0">
                    <c:v>Basis</c:v>
                  </c:pt>
                  <c:pt idx="11">
                    <c:v>Besøk</c:v>
                  </c:pt>
                  <c:pt idx="15">
                    <c:v> </c:v>
                  </c:pt>
                  <c:pt idx="16">
                    <c:v>Regional</c:v>
                  </c:pt>
                </c:lvl>
              </c:multiLvlStrCache>
            </c:multiLvlStrRef>
          </c:cat>
          <c:val>
            <c:numRef>
              <c:f>'Ark3'!$S$2:$S$24</c:f>
              <c:numCache>
                <c:formatCode>0.0</c:formatCode>
                <c:ptCount val="23"/>
                <c:pt idx="0">
                  <c:v>-26.124019750217833</c:v>
                </c:pt>
                <c:pt idx="1">
                  <c:v>-13.339761570827489</c:v>
                </c:pt>
                <c:pt idx="2">
                  <c:v>62.921417947446706</c:v>
                </c:pt>
                <c:pt idx="3">
                  <c:v>-33.297936893203882</c:v>
                </c:pt>
                <c:pt idx="4">
                  <c:v>-0.53805464163016015</c:v>
                </c:pt>
                <c:pt idx="5">
                  <c:v>-20.700791215888906</c:v>
                </c:pt>
                <c:pt idx="6">
                  <c:v>10.169897104570468</c:v>
                </c:pt>
                <c:pt idx="7">
                  <c:v>-29.114315326290544</c:v>
                </c:pt>
                <c:pt idx="8">
                  <c:v>186.61006976548705</c:v>
                </c:pt>
                <c:pt idx="9">
                  <c:v>67.228319345814498</c:v>
                </c:pt>
                <c:pt idx="10">
                  <c:v>36.534032077425351</c:v>
                </c:pt>
                <c:pt idx="11">
                  <c:v>32.963163055005296</c:v>
                </c:pt>
                <c:pt idx="12">
                  <c:v>12.877955423694669</c:v>
                </c:pt>
                <c:pt idx="13">
                  <c:v>-3.9253695178095471</c:v>
                </c:pt>
                <c:pt idx="14">
                  <c:v>16.407301160163488</c:v>
                </c:pt>
                <c:pt idx="15">
                  <c:v>20.196740471397955</c:v>
                </c:pt>
                <c:pt idx="16">
                  <c:v>3.9990675749177647</c:v>
                </c:pt>
                <c:pt idx="17">
                  <c:v>41.988603833256072</c:v>
                </c:pt>
                <c:pt idx="18">
                  <c:v>20.719843636875794</c:v>
                </c:pt>
                <c:pt idx="19">
                  <c:v>10.51854020816142</c:v>
                </c:pt>
                <c:pt idx="20">
                  <c:v>49.052680712027652</c:v>
                </c:pt>
                <c:pt idx="21">
                  <c:v>-12.683873770962833</c:v>
                </c:pt>
                <c:pt idx="22">
                  <c:v>42.114321949451956</c:v>
                </c:pt>
              </c:numCache>
            </c:numRef>
          </c:val>
        </c:ser>
        <c:gapWidth val="30"/>
        <c:axId val="240599040"/>
        <c:axId val="240600576"/>
        <c:extLst>
          <c:ext xmlns:c15="http://schemas.microsoft.com/office/drawing/2012/chart" uri="{02D57815-91ED-43cb-92C2-25804820EDAC}">
            <c15:filteredBarSeries>
              <c15:ser>
                <c:idx val="0"/>
                <c:order val="0"/>
                <c:spPr>
                  <a:solidFill>
                    <a:schemeClr val="accent1"/>
                  </a:solidFill>
                  <a:ln>
                    <a:noFill/>
                  </a:ln>
                  <a:effectLst/>
                </c:spPr>
                <c:invertIfNegative val="0"/>
                <c:cat>
                  <c:multiLvlStrRef>
                    <c:extLst>
                      <c:ext uri="{02D57815-91ED-43cb-92C2-25804820EDAC}">
                        <c15:formulaRef>
                          <c15:sqref>'Ark3'!$A$2:$C$24</c15:sqref>
                        </c15:formulaRef>
                      </c:ext>
                    </c:extLst>
                    <c:multiLvlStrCache>
                      <c:ptCount val="23"/>
                      <c:lvl>
                        <c:pt idx="0">
                          <c:v>Anna industri</c:v>
                        </c:pt>
                        <c:pt idx="1">
                          <c:v>Næringsmidler</c:v>
                        </c:pt>
                        <c:pt idx="2">
                          <c:v>Olje og gass utvinning</c:v>
                        </c:pt>
                        <c:pt idx="3">
                          <c:v>Prosessindustri</c:v>
                        </c:pt>
                        <c:pt idx="4">
                          <c:v>Verkstedindustri</c:v>
                        </c:pt>
                        <c:pt idx="5">
                          <c:v>Fisk</c:v>
                        </c:pt>
                        <c:pt idx="6">
                          <c:v>Gruve</c:v>
                        </c:pt>
                        <c:pt idx="7">
                          <c:v>Landbruk</c:v>
                        </c:pt>
                        <c:pt idx="8">
                          <c:v>Olje og gass</c:v>
                        </c:pt>
                        <c:pt idx="9">
                          <c:v>Teknisk/vitenskap</c:v>
                        </c:pt>
                        <c:pt idx="10">
                          <c:v>Tele og IKT</c:v>
                        </c:pt>
                        <c:pt idx="11">
                          <c:v>Aktivitet</c:v>
                        </c:pt>
                        <c:pt idx="12">
                          <c:v>Handel</c:v>
                        </c:pt>
                        <c:pt idx="13">
                          <c:v>Overnatting</c:v>
                        </c:pt>
                        <c:pt idx="14">
                          <c:v>Servering</c:v>
                        </c:pt>
                        <c:pt idx="15">
                          <c:v>Lokal</c:v>
                        </c:pt>
                        <c:pt idx="16">
                          <c:v>Agentur og Engros</c:v>
                        </c:pt>
                        <c:pt idx="17">
                          <c:v>Bygg og anlegg</c:v>
                        </c:pt>
                        <c:pt idx="18">
                          <c:v>Diverse</c:v>
                        </c:pt>
                        <c:pt idx="19">
                          <c:v>Finans, eiendom, uteie</c:v>
                        </c:pt>
                        <c:pt idx="20">
                          <c:v>Forr tjenesteyting</c:v>
                        </c:pt>
                        <c:pt idx="21">
                          <c:v>Transport</c:v>
                        </c:pt>
                        <c:pt idx="22">
                          <c:v>Utleie av arbeidskraft</c:v>
                        </c:pt>
                      </c:lvl>
                      <c:lvl>
                        <c:pt idx="0">
                          <c:v>Industri</c:v>
                        </c:pt>
                        <c:pt idx="5">
                          <c:v>Natur</c:v>
                        </c:pt>
                        <c:pt idx="8">
                          <c:v>Tekn tjenester</c:v>
                        </c:pt>
                      </c:lvl>
                      <c:lvl>
                        <c:pt idx="0">
                          <c:v>Basis</c:v>
                        </c:pt>
                        <c:pt idx="11">
                          <c:v>Besøk</c:v>
                        </c:pt>
                        <c:pt idx="15">
                          <c:v> </c:v>
                        </c:pt>
                        <c:pt idx="16">
                          <c:v>Regional</c:v>
                        </c:pt>
                      </c:lvl>
                    </c:multiLvlStrCache>
                  </c:multiLvlStrRef>
                </c:cat>
                <c:val>
                  <c:numRef>
                    <c:extLst>
                      <c:ext uri="{02D57815-91ED-43cb-92C2-25804820EDAC}">
                        <c15:formulaRef>
                          <c15:sqref>'Ark3'!$B$2:$B$25</c15:sqref>
                        </c15:formulaRef>
                      </c:ext>
                    </c:extLst>
                    <c:numCache>
                      <c:formatCode>General</c:formatCode>
                      <c:ptCount val="24"/>
                      <c:pt idx="0">
                        <c:v>0</c:v>
                      </c:pt>
                      <c:pt idx="5">
                        <c:v>0</c:v>
                      </c:pt>
                      <c:pt idx="8">
                        <c:v>0</c:v>
                      </c:pt>
                    </c:numCache>
                  </c:numRef>
                </c:val>
              </c15:ser>
            </c15:filteredBarSeries>
            <c15:filteredBarSeries>
              <c15:ser>
                <c:idx val="1"/>
                <c:order val="1"/>
                <c:spPr>
                  <a:solidFill>
                    <a:schemeClr val="accent2"/>
                  </a:solidFill>
                  <a:ln>
                    <a:noFill/>
                  </a:ln>
                  <a:effectLst/>
                </c:spPr>
                <c:invertIfNegative val="0"/>
                <c:cat>
                  <c:multiLvlStrRef>
                    <c:extLst xmlns:c15="http://schemas.microsoft.com/office/drawing/2012/chart">
                      <c:ext xmlns:c15="http://schemas.microsoft.com/office/drawing/2012/chart" uri="{02D57815-91ED-43cb-92C2-25804820EDAC}">
                        <c15:formulaRef>
                          <c15:sqref>'Ark3'!$A$2:$C$24</c15:sqref>
                        </c15:formulaRef>
                      </c:ext>
                    </c:extLst>
                    <c:multiLvlStrCache>
                      <c:ptCount val="23"/>
                      <c:lvl>
                        <c:pt idx="0">
                          <c:v>Anna industri</c:v>
                        </c:pt>
                        <c:pt idx="1">
                          <c:v>Næringsmidler</c:v>
                        </c:pt>
                        <c:pt idx="2">
                          <c:v>Olje og gass utvinning</c:v>
                        </c:pt>
                        <c:pt idx="3">
                          <c:v>Prosessindustri</c:v>
                        </c:pt>
                        <c:pt idx="4">
                          <c:v>Verkstedindustri</c:v>
                        </c:pt>
                        <c:pt idx="5">
                          <c:v>Fisk</c:v>
                        </c:pt>
                        <c:pt idx="6">
                          <c:v>Gruve</c:v>
                        </c:pt>
                        <c:pt idx="7">
                          <c:v>Landbruk</c:v>
                        </c:pt>
                        <c:pt idx="8">
                          <c:v>Olje og gass</c:v>
                        </c:pt>
                        <c:pt idx="9">
                          <c:v>Teknisk/vitenskap</c:v>
                        </c:pt>
                        <c:pt idx="10">
                          <c:v>Tele og IKT</c:v>
                        </c:pt>
                        <c:pt idx="11">
                          <c:v>Aktivitet</c:v>
                        </c:pt>
                        <c:pt idx="12">
                          <c:v>Handel</c:v>
                        </c:pt>
                        <c:pt idx="13">
                          <c:v>Overnatting</c:v>
                        </c:pt>
                        <c:pt idx="14">
                          <c:v>Servering</c:v>
                        </c:pt>
                        <c:pt idx="15">
                          <c:v>Lokal</c:v>
                        </c:pt>
                        <c:pt idx="16">
                          <c:v>Agentur og Engros</c:v>
                        </c:pt>
                        <c:pt idx="17">
                          <c:v>Bygg og anlegg</c:v>
                        </c:pt>
                        <c:pt idx="18">
                          <c:v>Diverse</c:v>
                        </c:pt>
                        <c:pt idx="19">
                          <c:v>Finans, eiendom, uteie</c:v>
                        </c:pt>
                        <c:pt idx="20">
                          <c:v>Forr tjenesteyting</c:v>
                        </c:pt>
                        <c:pt idx="21">
                          <c:v>Transport</c:v>
                        </c:pt>
                        <c:pt idx="22">
                          <c:v>Utleie av arbeidskraft</c:v>
                        </c:pt>
                      </c:lvl>
                      <c:lvl>
                        <c:pt idx="0">
                          <c:v>Industri</c:v>
                        </c:pt>
                        <c:pt idx="5">
                          <c:v>Natur</c:v>
                        </c:pt>
                        <c:pt idx="8">
                          <c:v>Tekn tjenester</c:v>
                        </c:pt>
                      </c:lvl>
                      <c:lvl>
                        <c:pt idx="0">
                          <c:v>Basis</c:v>
                        </c:pt>
                        <c:pt idx="11">
                          <c:v>Besøk</c:v>
                        </c:pt>
                        <c:pt idx="15">
                          <c:v> </c:v>
                        </c:pt>
                        <c:pt idx="16">
                          <c:v>Regional</c:v>
                        </c:pt>
                      </c:lvl>
                    </c:multiLvlStrCache>
                  </c:multiLvlStrRef>
                </c:cat>
                <c:val>
                  <c:numRef>
                    <c:extLst xmlns:c15="http://schemas.microsoft.com/office/drawing/2012/chart">
                      <c:ext xmlns:c15="http://schemas.microsoft.com/office/drawing/2012/chart" uri="{02D57815-91ED-43cb-92C2-25804820EDAC}">
                        <c15:formulaRef>
                          <c15:sqref>'Ark3'!$C$2:$C$25</c15:sqref>
                        </c15:formulaRef>
                      </c:ext>
                    </c:extLst>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numCache>
                  </c:numRef>
                </c:val>
              </c15:ser>
            </c15:filteredBarSeries>
          </c:ext>
        </c:extLst>
      </c:barChart>
      <c:catAx>
        <c:axId val="240599040"/>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0600576"/>
        <c:crosses val="autoZero"/>
        <c:auto val="1"/>
        <c:lblAlgn val="ctr"/>
        <c:lblOffset val="100"/>
      </c:catAx>
      <c:valAx>
        <c:axId val="240600576"/>
        <c:scaling>
          <c:orientation val="minMax"/>
          <c:max val="200"/>
          <c:min val="-100"/>
        </c:scaling>
        <c:axPos val="t"/>
        <c:majorGridlines>
          <c:spPr>
            <a:ln w="9525" cap="flat" cmpd="sng" algn="ctr">
              <a:solidFill>
                <a:schemeClr val="tx1">
                  <a:lumMod val="15000"/>
                  <a:lumOff val="85000"/>
                </a:schemeClr>
              </a:solidFill>
              <a:round/>
            </a:ln>
            <a:effectLst/>
          </c:spPr>
        </c:majorGridlines>
        <c:numFmt formatCode="0" sourceLinked="0"/>
        <c:maj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059904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pivotSource>
    <c:name>[Sogn og Fjordane grunnmur.xlsx]Befolkning indeks vekst!Indeksert befolkningsvekst</c:name>
    <c:fmtId val="48"/>
  </c:pivotSource>
  <c:chart>
    <c:pivotFmts>
      <c:pivotFmt>
        <c:idx val="0"/>
        <c:spPr>
          <a:solidFill>
            <a:schemeClr val="accent1"/>
          </a:solidFill>
          <a:ln w="28575" cap="rnd">
            <a:solidFill>
              <a:sysClr val="windowText" lastClr="000000"/>
            </a:solidFill>
            <a:prstDash val="sysDot"/>
            <a:round/>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w="28575" cap="rnd">
            <a:solidFill>
              <a:schemeClr val="accent6"/>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layout>
            <c:manualLayout>
              <c:x val="1.2176417866743816E-16"/>
              <c:y val="-3.59873993096653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5"/>
        <c:spPr>
          <a:solidFill>
            <a:schemeClr val="accent1"/>
          </a:solidFill>
          <a:ln w="28575" cap="rnd">
            <a:solidFill>
              <a:sysClr val="windowText" lastClr="000000"/>
            </a:solidFill>
            <a:prstDash val="sysDot"/>
            <a:round/>
          </a:ln>
          <a:effectLst/>
        </c:spPr>
        <c:marker>
          <c:symbol val="none"/>
        </c:marker>
        <c:dLbl>
          <c:idx val="0"/>
          <c:layout>
            <c:manualLayout>
              <c:x val="-1.1386243795028297E-2"/>
              <c:y val="6.6734486731514771E-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w="28575" cap="rnd">
            <a:solidFill>
              <a:schemeClr val="accent1"/>
            </a:solidFill>
            <a:round/>
          </a:ln>
          <a:effectLst/>
        </c:spPr>
        <c:marker>
          <c:symbol val="none"/>
        </c:marker>
      </c:pivotFmt>
      <c:pivotFmt>
        <c:idx val="11"/>
        <c:spPr>
          <a:solidFill>
            <a:schemeClr val="accent1"/>
          </a:solidFill>
          <a:ln w="28575" cap="rnd">
            <a:solidFill>
              <a:schemeClr val="accent1"/>
            </a:solidFill>
            <a:round/>
          </a:ln>
          <a:effectLst/>
        </c:spPr>
        <c:marker>
          <c:symbol val="none"/>
        </c:marker>
      </c:pivotFmt>
      <c:pivotFmt>
        <c:idx val="12"/>
        <c:spPr>
          <a:solidFill>
            <a:schemeClr val="accent1"/>
          </a:solidFill>
          <a:ln w="28575" cap="rnd">
            <a:solidFill>
              <a:schemeClr val="accent1"/>
            </a:solidFill>
            <a:round/>
          </a:ln>
          <a:effectLst/>
        </c:spPr>
        <c:marker>
          <c:symbol val="none"/>
        </c:marker>
      </c:pivotFmt>
      <c:pivotFmt>
        <c:idx val="13"/>
        <c:spPr>
          <a:solidFill>
            <a:schemeClr val="accent1"/>
          </a:solidFill>
          <a:ln w="28575" cap="rnd">
            <a:solidFill>
              <a:schemeClr val="accent1"/>
            </a:solidFill>
            <a:round/>
          </a:ln>
          <a:effectLst/>
        </c:spPr>
        <c:marker>
          <c:symbol val="none"/>
        </c:marker>
      </c:pivotFmt>
      <c:pivotFmt>
        <c:idx val="14"/>
        <c:spPr>
          <a:solidFill>
            <a:schemeClr val="accent1"/>
          </a:solidFill>
          <a:ln w="28575" cap="rnd">
            <a:solidFill>
              <a:schemeClr val="accent1"/>
            </a:solidFill>
            <a:round/>
          </a:ln>
          <a:effectLst/>
        </c:spPr>
        <c:marker>
          <c:symbol val="none"/>
        </c:marker>
      </c:pivotFmt>
      <c:pivotFmt>
        <c:idx val="15"/>
        <c:spPr>
          <a:solidFill>
            <a:schemeClr val="accent1"/>
          </a:solidFill>
          <a:ln w="28575" cap="rnd">
            <a:solidFill>
              <a:schemeClr val="accent1"/>
            </a:solidFill>
            <a:round/>
          </a:ln>
          <a:effectLst/>
        </c:spPr>
        <c:marker>
          <c:symbol val="none"/>
        </c:marker>
      </c:pivotFmt>
      <c:pivotFmt>
        <c:idx val="16"/>
        <c:spPr>
          <a:solidFill>
            <a:schemeClr val="accent1"/>
          </a:solidFill>
          <a:ln w="28575" cap="rnd">
            <a:solidFill>
              <a:schemeClr val="accent1"/>
            </a:solidFill>
            <a:round/>
          </a:ln>
          <a:effectLst/>
        </c:spPr>
        <c:marker>
          <c:symbol val="none"/>
        </c:marker>
      </c:pivotFmt>
      <c:pivotFmt>
        <c:idx val="17"/>
        <c:spPr>
          <a:solidFill>
            <a:schemeClr val="accent1"/>
          </a:solidFill>
          <a:ln w="28575" cap="rnd">
            <a:solidFill>
              <a:schemeClr val="accent1"/>
            </a:solidFill>
            <a:round/>
          </a:ln>
          <a:effectLst/>
        </c:spPr>
        <c:marker>
          <c:symbol val="none"/>
        </c:marker>
      </c:pivotFmt>
      <c:pivotFmt>
        <c:idx val="18"/>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pivotFmt>
      <c:pivotFmt>
        <c:idx val="20"/>
        <c:spPr>
          <a:solidFill>
            <a:schemeClr val="accent1"/>
          </a:solidFill>
          <a:ln w="28575" cap="rnd">
            <a:solidFill>
              <a:schemeClr val="accent1"/>
            </a:solidFill>
            <a:round/>
          </a:ln>
          <a:effectLst/>
        </c:spPr>
        <c:marker>
          <c:symbol val="none"/>
        </c:marker>
      </c:pivotFmt>
      <c:pivotFmt>
        <c:idx val="21"/>
        <c:spPr>
          <a:solidFill>
            <a:schemeClr val="accent1"/>
          </a:solidFill>
          <a:ln w="28575" cap="rnd">
            <a:solidFill>
              <a:schemeClr val="accent1"/>
            </a:solidFill>
            <a:round/>
          </a:ln>
          <a:effectLst/>
        </c:spPr>
        <c:marker>
          <c:symbol val="none"/>
        </c:marker>
      </c:pivotFmt>
      <c:pivotFmt>
        <c:idx val="22"/>
        <c:spPr>
          <a:solidFill>
            <a:schemeClr val="accent1"/>
          </a:solidFill>
          <a:ln w="28575" cap="rnd">
            <a:solidFill>
              <a:schemeClr val="accent1"/>
            </a:solidFill>
            <a:round/>
          </a:ln>
          <a:effectLst/>
        </c:spPr>
        <c:marker>
          <c:symbol val="none"/>
        </c:marker>
      </c:pivotFmt>
      <c:pivotFmt>
        <c:idx val="23"/>
        <c:spPr>
          <a:solidFill>
            <a:schemeClr val="accent1"/>
          </a:solidFill>
          <a:ln w="28575" cap="rnd">
            <a:solidFill>
              <a:schemeClr val="accent1"/>
            </a:solidFill>
            <a:round/>
          </a:ln>
          <a:effectLst/>
        </c:spPr>
        <c:marker>
          <c:symbol val="none"/>
        </c:marker>
      </c:pivotFmt>
      <c:pivotFmt>
        <c:idx val="24"/>
        <c:spPr>
          <a:solidFill>
            <a:schemeClr val="accent1"/>
          </a:solidFill>
          <a:ln w="28575" cap="rnd">
            <a:solidFill>
              <a:schemeClr val="accent1"/>
            </a:solidFill>
            <a:round/>
          </a:ln>
          <a:effectLst/>
        </c:spPr>
        <c:marker>
          <c:symbol val="none"/>
        </c:marker>
      </c:pivotFmt>
      <c:pivotFmt>
        <c:idx val="2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6"/>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layout>
            <c:manualLayout>
              <c:x val="0"/>
              <c:y val="-4.318487917159840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pivotFmt>
      <c:pivotFmt>
        <c:idx val="30"/>
        <c:spPr>
          <a:solidFill>
            <a:schemeClr val="accent1"/>
          </a:solidFill>
          <a:ln w="28575" cap="rnd">
            <a:solidFill>
              <a:schemeClr val="accent1"/>
            </a:solidFill>
            <a:round/>
          </a:ln>
          <a:effectLst/>
        </c:spPr>
        <c:marker>
          <c:symbol val="none"/>
        </c:marker>
      </c:pivotFmt>
      <c:pivotFmt>
        <c:idx val="31"/>
        <c:spPr>
          <a:solidFill>
            <a:schemeClr val="accent1"/>
          </a:solidFill>
          <a:ln w="28575" cap="rnd">
            <a:solidFill>
              <a:schemeClr val="accent1"/>
            </a:solidFill>
            <a:round/>
          </a:ln>
          <a:effectLst/>
        </c:spPr>
        <c:marker>
          <c:symbol val="none"/>
        </c:marker>
      </c:pivotFmt>
      <c:pivotFmt>
        <c:idx val="32"/>
        <c:spPr>
          <a:solidFill>
            <a:schemeClr val="accent1"/>
          </a:solidFill>
          <a:ln w="28575" cap="rnd">
            <a:solidFill>
              <a:schemeClr val="accent1"/>
            </a:solidFill>
            <a:round/>
          </a:ln>
          <a:effectLst/>
        </c:spPr>
        <c:marker>
          <c:symbol val="none"/>
        </c:marker>
      </c:pivotFmt>
      <c:pivotFmt>
        <c:idx val="33"/>
        <c:spPr>
          <a:solidFill>
            <a:schemeClr val="accent1"/>
          </a:solidFill>
          <a:ln w="28575" cap="rnd">
            <a:solidFill>
              <a:schemeClr val="accent1"/>
            </a:solidFill>
            <a:round/>
          </a:ln>
          <a:effectLst/>
        </c:spPr>
        <c:marker>
          <c:symbol val="none"/>
        </c:marker>
      </c:pivotFmt>
      <c:pivotFmt>
        <c:idx val="34"/>
        <c:spPr>
          <a:solidFill>
            <a:schemeClr val="accent1"/>
          </a:solidFill>
          <a:ln w="28575" cap="rnd">
            <a:solidFill>
              <a:schemeClr val="accent1"/>
            </a:solidFill>
            <a:round/>
          </a:ln>
          <a:effectLst/>
        </c:spPr>
        <c:marker>
          <c:symbol val="none"/>
        </c:marker>
      </c:pivotFmt>
      <c:pivotFmt>
        <c:idx val="35"/>
        <c:spPr>
          <a:solidFill>
            <a:schemeClr val="accent1"/>
          </a:solidFill>
          <a:ln w="28575" cap="rnd">
            <a:solidFill>
              <a:schemeClr val="accent1"/>
            </a:solidFill>
            <a:round/>
          </a:ln>
          <a:effectLst/>
        </c:spPr>
        <c:marker>
          <c:symbol val="none"/>
        </c:marker>
      </c:pivotFmt>
      <c:pivotFmt>
        <c:idx val="36"/>
        <c:spPr>
          <a:solidFill>
            <a:schemeClr val="accent1"/>
          </a:solidFill>
          <a:ln w="28575" cap="rnd">
            <a:solidFill>
              <a:schemeClr val="accent1"/>
            </a:solidFill>
            <a:round/>
          </a:ln>
          <a:effectLst/>
        </c:spPr>
        <c:marker>
          <c:symbol val="none"/>
        </c:marker>
      </c:pivotFmt>
      <c:pivotFmt>
        <c:idx val="37"/>
        <c:spPr>
          <a:solidFill>
            <a:schemeClr val="accent1"/>
          </a:solidFill>
          <a:ln w="28575" cap="rnd">
            <a:solidFill>
              <a:schemeClr val="accent1"/>
            </a:solidFill>
            <a:round/>
          </a:ln>
          <a:effectLst/>
        </c:spPr>
        <c:marker>
          <c:symbol val="none"/>
        </c:marker>
      </c:pivotFmt>
      <c:pivotFmt>
        <c:idx val="38"/>
        <c:spPr>
          <a:solidFill>
            <a:schemeClr val="accent1"/>
          </a:solidFill>
          <a:ln w="28575" cap="rnd">
            <a:solidFill>
              <a:schemeClr val="accent1"/>
            </a:solidFill>
            <a:round/>
          </a:ln>
          <a:effectLst/>
        </c:spPr>
        <c:marker>
          <c:symbol val="none"/>
        </c:marker>
      </c:pivotFmt>
      <c:pivotFmt>
        <c:idx val="39"/>
        <c:spPr>
          <a:solidFill>
            <a:schemeClr val="accent1"/>
          </a:solidFill>
          <a:ln w="28575" cap="rnd">
            <a:solidFill>
              <a:schemeClr val="accent1"/>
            </a:solidFill>
            <a:round/>
          </a:ln>
          <a:effectLst/>
        </c:spPr>
        <c:marker>
          <c:symbol val="none"/>
        </c:marker>
      </c:pivotFmt>
      <c:pivotFmt>
        <c:idx val="40"/>
        <c:spPr>
          <a:solidFill>
            <a:schemeClr val="accent1"/>
          </a:solidFill>
          <a:ln w="28575" cap="rnd">
            <a:solidFill>
              <a:schemeClr val="accent1"/>
            </a:solidFill>
            <a:round/>
          </a:ln>
          <a:effectLst/>
        </c:spPr>
        <c:marker>
          <c:symbol val="none"/>
        </c:marker>
      </c:pivotFmt>
      <c:pivotFmt>
        <c:idx val="41"/>
        <c:spPr>
          <a:solidFill>
            <a:schemeClr val="accent1"/>
          </a:solidFill>
          <a:ln w="28575" cap="rnd">
            <a:solidFill>
              <a:schemeClr val="accent1"/>
            </a:solidFill>
            <a:round/>
          </a:ln>
          <a:effectLst/>
        </c:spPr>
        <c:marker>
          <c:symbol val="none"/>
        </c:marker>
      </c:pivotFmt>
      <c:pivotFmt>
        <c:idx val="42"/>
        <c:spPr>
          <a:solidFill>
            <a:schemeClr val="accent1"/>
          </a:solidFill>
          <a:ln w="28575" cap="rnd">
            <a:solidFill>
              <a:schemeClr val="accent1"/>
            </a:solidFill>
            <a:round/>
          </a:ln>
          <a:effectLst/>
        </c:spPr>
        <c:marker>
          <c:symbol val="none"/>
        </c:marker>
      </c:pivotFmt>
      <c:pivotFmt>
        <c:idx val="43"/>
        <c:spPr>
          <a:solidFill>
            <a:schemeClr val="accent1"/>
          </a:solidFill>
          <a:ln w="28575" cap="rnd">
            <a:solidFill>
              <a:schemeClr val="accent1"/>
            </a:solidFill>
            <a:round/>
          </a:ln>
          <a:effectLst/>
        </c:spPr>
        <c:marker>
          <c:symbol val="none"/>
        </c:marker>
      </c:pivotFmt>
      <c:pivotFmt>
        <c:idx val="44"/>
        <c:spPr>
          <a:solidFill>
            <a:schemeClr val="accent1"/>
          </a:solidFill>
          <a:ln w="28575" cap="rnd">
            <a:solidFill>
              <a:schemeClr val="accent1"/>
            </a:solidFill>
            <a:round/>
          </a:ln>
          <a:effectLst/>
        </c:spPr>
        <c:marker>
          <c:symbol val="none"/>
        </c:marker>
      </c:pivotFmt>
      <c:pivotFmt>
        <c:idx val="45"/>
        <c:spPr>
          <a:solidFill>
            <a:schemeClr val="accent1"/>
          </a:solidFill>
          <a:ln w="28575" cap="rnd">
            <a:solidFill>
              <a:schemeClr val="accent1"/>
            </a:solidFill>
            <a:round/>
          </a:ln>
          <a:effectLst/>
        </c:spPr>
        <c:marker>
          <c:symbol val="none"/>
        </c:marker>
      </c:pivotFmt>
      <c:pivotFmt>
        <c:idx val="46"/>
        <c:spPr>
          <a:solidFill>
            <a:schemeClr val="accent1"/>
          </a:solidFill>
          <a:ln w="28575" cap="rnd">
            <a:solidFill>
              <a:schemeClr val="accent1"/>
            </a:solidFill>
            <a:round/>
          </a:ln>
          <a:effectLst/>
        </c:spPr>
        <c:marker>
          <c:symbol val="none"/>
        </c:marker>
      </c:pivotFmt>
      <c:pivotFmt>
        <c:idx val="47"/>
        <c:spPr>
          <a:solidFill>
            <a:schemeClr val="accent1"/>
          </a:solidFill>
          <a:ln w="28575" cap="rnd">
            <a:solidFill>
              <a:schemeClr val="accent1"/>
            </a:solidFill>
            <a:round/>
          </a:ln>
          <a:effectLst/>
        </c:spPr>
        <c:marker>
          <c:symbol val="none"/>
        </c:marker>
      </c:pivotFmt>
      <c:pivotFmt>
        <c:idx val="4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9"/>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50"/>
        <c:spPr>
          <a:solidFill>
            <a:schemeClr val="accent1"/>
          </a:solidFill>
          <a:ln w="28575" cap="rnd">
            <a:solidFill>
              <a:schemeClr val="accent1"/>
            </a:solidFill>
            <a:round/>
          </a:ln>
          <a:effectLst/>
        </c:spPr>
        <c:marker>
          <c:symbol val="none"/>
        </c:marker>
      </c:pivotFmt>
      <c:pivotFmt>
        <c:idx val="51"/>
        <c:spPr>
          <a:solidFill>
            <a:schemeClr val="accent1"/>
          </a:solidFill>
          <a:ln w="28575" cap="rnd">
            <a:solidFill>
              <a:schemeClr val="accent1"/>
            </a:solidFill>
            <a:round/>
          </a:ln>
          <a:effectLst/>
        </c:spPr>
        <c:marker>
          <c:symbol val="none"/>
        </c:marker>
      </c:pivotFmt>
      <c:pivotFmt>
        <c:idx val="52"/>
        <c:spPr>
          <a:solidFill>
            <a:schemeClr val="accent1"/>
          </a:solidFill>
          <a:ln w="28575" cap="rnd">
            <a:solidFill>
              <a:schemeClr val="accent1"/>
            </a:solidFill>
            <a:round/>
          </a:ln>
          <a:effectLst/>
        </c:spPr>
        <c:marker>
          <c:symbol val="none"/>
        </c:marker>
      </c:pivotFmt>
      <c:pivotFmt>
        <c:idx val="53"/>
        <c:spPr>
          <a:solidFill>
            <a:schemeClr val="accent1"/>
          </a:solidFill>
          <a:ln w="28575" cap="rnd">
            <a:solidFill>
              <a:schemeClr val="accent1"/>
            </a:solidFill>
            <a:round/>
          </a:ln>
          <a:effectLst/>
        </c:spPr>
        <c:marker>
          <c:symbol val="none"/>
        </c:marker>
      </c:pivotFmt>
      <c:pivotFmt>
        <c:idx val="54"/>
        <c:spPr>
          <a:solidFill>
            <a:schemeClr val="accent1"/>
          </a:solidFill>
          <a:ln w="28575" cap="rnd">
            <a:solidFill>
              <a:schemeClr val="accent1"/>
            </a:solidFill>
            <a:round/>
          </a:ln>
          <a:effectLst/>
        </c:spPr>
        <c:marker>
          <c:symbol val="none"/>
        </c:marker>
      </c:pivotFmt>
      <c:pivotFmt>
        <c:idx val="55"/>
        <c:spPr>
          <a:solidFill>
            <a:schemeClr val="accent1"/>
          </a:solidFill>
          <a:ln w="28575" cap="rnd">
            <a:solidFill>
              <a:schemeClr val="accent1"/>
            </a:solidFill>
            <a:round/>
          </a:ln>
          <a:effectLst/>
        </c:spPr>
        <c:marker>
          <c:symbol val="none"/>
        </c:marker>
      </c:pivotFmt>
      <c:pivotFmt>
        <c:idx val="56"/>
        <c:spPr>
          <a:solidFill>
            <a:schemeClr val="accent1"/>
          </a:solidFill>
          <a:ln w="28575" cap="rnd">
            <a:solidFill>
              <a:schemeClr val="accent1"/>
            </a:solidFill>
            <a:round/>
          </a:ln>
          <a:effectLst/>
        </c:spPr>
        <c:marker>
          <c:symbol val="none"/>
        </c:marker>
      </c:pivotFmt>
      <c:pivotFmt>
        <c:idx val="57"/>
        <c:spPr>
          <a:solidFill>
            <a:schemeClr val="accent1"/>
          </a:solidFill>
          <a:ln w="28575" cap="rnd">
            <a:solidFill>
              <a:schemeClr val="accent1"/>
            </a:solidFill>
            <a:round/>
          </a:ln>
          <a:effectLst/>
        </c:spPr>
        <c:marker>
          <c:symbol val="none"/>
        </c:marker>
      </c:pivotFmt>
      <c:pivotFmt>
        <c:idx val="58"/>
        <c:spPr>
          <a:solidFill>
            <a:schemeClr val="accent1"/>
          </a:solidFill>
          <a:ln w="28575" cap="rnd">
            <a:solidFill>
              <a:schemeClr val="accent1"/>
            </a:solidFill>
            <a:round/>
          </a:ln>
          <a:effectLst/>
        </c:spPr>
        <c:marker>
          <c:symbol val="none"/>
        </c:marker>
      </c:pivotFmt>
      <c:pivotFmt>
        <c:idx val="59"/>
        <c:spPr>
          <a:solidFill>
            <a:schemeClr val="accent1"/>
          </a:solidFill>
          <a:ln w="28575" cap="rnd">
            <a:solidFill>
              <a:schemeClr val="accent1"/>
            </a:solidFill>
            <a:round/>
          </a:ln>
          <a:effectLst/>
        </c:spPr>
        <c:marker>
          <c:symbol val="none"/>
        </c:marker>
      </c:pivotFmt>
      <c:pivotFmt>
        <c:idx val="60"/>
        <c:spPr>
          <a:solidFill>
            <a:schemeClr val="accent1"/>
          </a:solidFill>
          <a:ln w="28575" cap="rnd">
            <a:solidFill>
              <a:schemeClr val="accent1"/>
            </a:solidFill>
            <a:round/>
          </a:ln>
          <a:effectLst/>
        </c:spPr>
        <c:marker>
          <c:symbol val="none"/>
        </c:marker>
      </c:pivotFmt>
      <c:pivotFmt>
        <c:idx val="61"/>
        <c:spPr>
          <a:solidFill>
            <a:schemeClr val="accent1"/>
          </a:solidFill>
          <a:ln w="28575" cap="rnd">
            <a:solidFill>
              <a:schemeClr val="accent1"/>
            </a:solidFill>
            <a:round/>
          </a:ln>
          <a:effectLst/>
        </c:spPr>
        <c:marker>
          <c:symbol val="none"/>
        </c:marker>
      </c:pivotFmt>
      <c:pivotFmt>
        <c:idx val="62"/>
        <c:spPr>
          <a:solidFill>
            <a:schemeClr val="accent1"/>
          </a:solidFill>
          <a:ln w="28575" cap="rnd">
            <a:solidFill>
              <a:schemeClr val="accent1"/>
            </a:solidFill>
            <a:round/>
          </a:ln>
          <a:effectLst/>
        </c:spPr>
        <c:marker>
          <c:symbol val="none"/>
        </c:marker>
      </c:pivotFmt>
      <c:pivotFmt>
        <c:idx val="63"/>
        <c:spPr>
          <a:solidFill>
            <a:schemeClr val="accent1"/>
          </a:solidFill>
          <a:ln w="28575" cap="rnd">
            <a:solidFill>
              <a:schemeClr val="accent6"/>
            </a:solidFill>
            <a:round/>
          </a:ln>
          <a:effectLst/>
        </c:spPr>
        <c:marker>
          <c:symbol val="none"/>
        </c:marker>
        <c:dLbl>
          <c:idx val="0"/>
          <c:layout>
            <c:manualLayout>
              <c:x val="-1.3486432288911686E-16"/>
              <c:y val="2.159243958579920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4"/>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5"/>
        <c:spPr>
          <a:solidFill>
            <a:schemeClr val="accent1"/>
          </a:solidFill>
          <a:ln w="28575" cap="rnd">
            <a:solidFill>
              <a:schemeClr val="accent6"/>
            </a:solidFill>
            <a:round/>
          </a:ln>
          <a:effectLst/>
        </c:spPr>
        <c:marker>
          <c:symbol val="none"/>
        </c:marker>
        <c:dLbl>
          <c:idx val="0"/>
          <c:layout>
            <c:manualLayout>
              <c:x val="-3.3126289675578847E-3"/>
              <c:y val="1.799369965483266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0"/>
        <c:spPr>
          <a:solidFill>
            <a:schemeClr val="accent1"/>
          </a:solidFill>
          <a:ln w="28575" cap="rnd">
            <a:solidFill>
              <a:schemeClr val="accent1"/>
            </a:solidFill>
            <a:round/>
          </a:ln>
          <a:effectLst/>
        </c:spPr>
        <c:marker>
          <c:symbol val="none"/>
        </c:marker>
      </c:pivotFmt>
      <c:pivotFmt>
        <c:idx val="71"/>
        <c:spPr>
          <a:solidFill>
            <a:schemeClr val="accent1"/>
          </a:solidFill>
          <a:ln w="28575" cap="rnd">
            <a:solidFill>
              <a:schemeClr val="accent1"/>
            </a:solidFill>
            <a:round/>
          </a:ln>
          <a:effectLst/>
        </c:spPr>
        <c:marker>
          <c:symbol val="none"/>
        </c:marker>
      </c:pivotFmt>
      <c:pivotFmt>
        <c:idx val="7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6"/>
        <c:spPr>
          <a:solidFill>
            <a:schemeClr val="accent1"/>
          </a:solidFill>
          <a:ln w="28575" cap="rnd">
            <a:solidFill>
              <a:schemeClr val="accent1"/>
            </a:solidFill>
            <a:round/>
          </a:ln>
          <a:effectLst/>
        </c:spPr>
        <c:marker>
          <c:symbol val="none"/>
        </c:marker>
      </c:pivotFmt>
      <c:pivotFmt>
        <c:idx val="77"/>
        <c:spPr>
          <a:solidFill>
            <a:schemeClr val="accent1"/>
          </a:solidFill>
          <a:ln w="28575" cap="rnd">
            <a:solidFill>
              <a:schemeClr val="accent1"/>
            </a:solidFill>
            <a:round/>
          </a:ln>
          <a:effectLst/>
        </c:spPr>
        <c:marker>
          <c:symbol val="none"/>
        </c:marker>
      </c:pivotFmt>
      <c:pivotFmt>
        <c:idx val="78"/>
        <c:spPr>
          <a:solidFill>
            <a:schemeClr val="accent1"/>
          </a:solidFill>
          <a:ln w="28575" cap="rnd">
            <a:solidFill>
              <a:schemeClr val="accent1"/>
            </a:solidFill>
            <a:round/>
          </a:ln>
          <a:effectLst/>
        </c:spPr>
        <c:marker>
          <c:symbol val="none"/>
        </c:marker>
      </c:pivotFmt>
      <c:pivotFmt>
        <c:idx val="79"/>
        <c:spPr>
          <a:solidFill>
            <a:schemeClr val="accent1"/>
          </a:solidFill>
          <a:ln w="28575" cap="rnd">
            <a:solidFill>
              <a:schemeClr val="accent1"/>
            </a:solidFill>
            <a:round/>
          </a:ln>
          <a:effectLst/>
        </c:spPr>
        <c:marker>
          <c:symbol val="none"/>
        </c:marker>
      </c:pivotFmt>
      <c:pivotFmt>
        <c:idx val="80"/>
        <c:spPr>
          <a:solidFill>
            <a:schemeClr val="accent1"/>
          </a:solidFill>
          <a:ln w="28575" cap="rnd">
            <a:solidFill>
              <a:schemeClr val="accent1"/>
            </a:solidFill>
            <a:round/>
          </a:ln>
          <a:effectLst/>
        </c:spPr>
        <c:marker>
          <c:symbol val="none"/>
        </c:marker>
      </c:pivotFmt>
      <c:pivotFmt>
        <c:idx val="8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5"/>
        <c:spPr>
          <a:solidFill>
            <a:schemeClr val="accent1"/>
          </a:solidFill>
          <a:ln w="28575" cap="rnd">
            <a:solidFill>
              <a:schemeClr val="accent1"/>
            </a:solidFill>
            <a:round/>
          </a:ln>
          <a:effectLst/>
        </c:spPr>
        <c:marker>
          <c:symbol val="none"/>
        </c:marker>
      </c:pivotFmt>
      <c:pivotFmt>
        <c:idx val="86"/>
        <c:spPr>
          <a:solidFill>
            <a:schemeClr val="accent1"/>
          </a:solidFill>
          <a:ln w="28575" cap="rnd">
            <a:solidFill>
              <a:schemeClr val="accent1"/>
            </a:solidFill>
            <a:round/>
          </a:ln>
          <a:effectLst/>
        </c:spPr>
        <c:marker>
          <c:symbol val="none"/>
        </c:marker>
      </c:pivotFmt>
      <c:pivotFmt>
        <c:idx val="87"/>
        <c:spPr>
          <a:solidFill>
            <a:schemeClr val="accent1"/>
          </a:solidFill>
          <a:ln w="28575" cap="rnd">
            <a:solidFill>
              <a:schemeClr val="accent1"/>
            </a:solidFill>
            <a:round/>
          </a:ln>
          <a:effectLst/>
        </c:spPr>
        <c:marker>
          <c:symbol val="none"/>
        </c:marker>
      </c:pivotFmt>
      <c:pivotFmt>
        <c:idx val="88"/>
        <c:spPr>
          <a:solidFill>
            <a:schemeClr val="accent1"/>
          </a:solidFill>
          <a:ln w="28575" cap="rnd">
            <a:solidFill>
              <a:schemeClr val="accent1"/>
            </a:solidFill>
            <a:round/>
          </a:ln>
          <a:effectLst/>
        </c:spPr>
        <c:marker>
          <c:symbol val="none"/>
        </c:marker>
      </c:pivotFmt>
      <c:pivotFmt>
        <c:idx val="89"/>
        <c:spPr>
          <a:solidFill>
            <a:schemeClr val="accent1"/>
          </a:solidFill>
          <a:ln w="28575" cap="rnd">
            <a:solidFill>
              <a:schemeClr val="accent1"/>
            </a:solidFill>
            <a:round/>
          </a:ln>
          <a:effectLst/>
        </c:spPr>
        <c:marker>
          <c:symbol val="none"/>
        </c:marker>
      </c:pivotFmt>
      <c:pivotFmt>
        <c:idx val="90"/>
        <c:spPr>
          <a:solidFill>
            <a:schemeClr val="accent1"/>
          </a:solidFill>
          <a:ln w="28575" cap="rnd">
            <a:solidFill>
              <a:schemeClr val="accent1"/>
            </a:solidFill>
            <a:round/>
          </a:ln>
          <a:effectLst/>
        </c:spPr>
        <c:marker>
          <c:symbol val="none"/>
        </c:marker>
      </c:pivotFmt>
      <c:pivotFmt>
        <c:idx val="91"/>
        <c:spPr>
          <a:solidFill>
            <a:schemeClr val="accent1"/>
          </a:solidFill>
          <a:ln w="28575" cap="rnd">
            <a:solidFill>
              <a:schemeClr val="accent1"/>
            </a:solidFill>
            <a:round/>
          </a:ln>
          <a:effectLst/>
        </c:spPr>
        <c:marker>
          <c:symbol val="none"/>
        </c:marker>
      </c:pivotFmt>
      <c:pivotFmt>
        <c:idx val="92"/>
        <c:spPr>
          <a:solidFill>
            <a:schemeClr val="accent1"/>
          </a:solidFill>
          <a:ln w="28575" cap="rnd">
            <a:solidFill>
              <a:schemeClr val="accent1"/>
            </a:solidFill>
            <a:round/>
          </a:ln>
          <a:effectLst/>
        </c:spPr>
        <c:marker>
          <c:symbol val="none"/>
        </c:marker>
      </c:pivotFmt>
      <c:pivotFmt>
        <c:idx val="9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4"/>
        <c:spPr>
          <a:solidFill>
            <a:schemeClr val="accent1"/>
          </a:solidFill>
          <a:ln w="28575" cap="rnd">
            <a:solidFill>
              <a:schemeClr val="accent1"/>
            </a:solidFill>
            <a:round/>
          </a:ln>
          <a:effectLst/>
        </c:spPr>
        <c:marker>
          <c:symbol val="none"/>
        </c:marker>
      </c:pivotFmt>
      <c:pivotFmt>
        <c:idx val="9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7"/>
        <c:spPr>
          <a:solidFill>
            <a:schemeClr val="accent1"/>
          </a:solidFill>
          <a:ln w="28575" cap="rnd">
            <a:solidFill>
              <a:schemeClr val="accent1"/>
            </a:solidFill>
            <a:round/>
          </a:ln>
          <a:effectLst/>
        </c:spPr>
        <c:marker>
          <c:symbol val="none"/>
        </c:marker>
      </c:pivotFmt>
      <c:pivotFmt>
        <c:idx val="98"/>
        <c:spPr>
          <a:solidFill>
            <a:schemeClr val="accent1"/>
          </a:solidFill>
          <a:ln w="28575" cap="rnd">
            <a:solidFill>
              <a:schemeClr val="accent1"/>
            </a:solidFill>
            <a:round/>
          </a:ln>
          <a:effectLst/>
        </c:spPr>
        <c:marker>
          <c:symbol val="none"/>
        </c:marker>
      </c:pivotFmt>
      <c:pivotFmt>
        <c:idx val="99"/>
        <c:spPr>
          <a:solidFill>
            <a:schemeClr val="accent1"/>
          </a:solidFill>
          <a:ln w="28575" cap="rnd">
            <a:solidFill>
              <a:schemeClr val="accent1"/>
            </a:solidFill>
            <a:round/>
          </a:ln>
          <a:effectLst/>
        </c:spPr>
        <c:marker>
          <c:symbol val="none"/>
        </c:marker>
      </c:pivotFmt>
      <c:pivotFmt>
        <c:idx val="100"/>
        <c:spPr>
          <a:solidFill>
            <a:schemeClr val="accent1"/>
          </a:solidFill>
          <a:ln w="28575" cap="rnd">
            <a:solidFill>
              <a:schemeClr val="accent1"/>
            </a:solidFill>
            <a:round/>
          </a:ln>
          <a:effectLst/>
        </c:spPr>
        <c:marker>
          <c:symbol val="none"/>
        </c:marker>
      </c:pivotFmt>
      <c:pivotFmt>
        <c:idx val="101"/>
        <c:spPr>
          <a:solidFill>
            <a:schemeClr val="accent1"/>
          </a:solidFill>
          <a:ln w="28575" cap="rnd">
            <a:solidFill>
              <a:schemeClr val="accent1"/>
            </a:solidFill>
            <a:round/>
          </a:ln>
          <a:effectLst/>
        </c:spPr>
        <c:marker>
          <c:symbol val="none"/>
        </c:marker>
      </c:pivotFmt>
      <c:pivotFmt>
        <c:idx val="102"/>
        <c:spPr>
          <a:solidFill>
            <a:schemeClr val="accent1"/>
          </a:solidFill>
          <a:ln w="28575" cap="rnd">
            <a:solidFill>
              <a:schemeClr val="accent1"/>
            </a:solidFill>
            <a:round/>
          </a:ln>
          <a:effectLst/>
        </c:spPr>
        <c:marker>
          <c:symbol val="none"/>
        </c:marker>
      </c:pivotFmt>
      <c:pivotFmt>
        <c:idx val="103"/>
        <c:spPr>
          <a:solidFill>
            <a:schemeClr val="accent1"/>
          </a:solidFill>
          <a:ln w="28575" cap="rnd">
            <a:solidFill>
              <a:schemeClr val="accent1"/>
            </a:solidFill>
            <a:round/>
          </a:ln>
          <a:effectLst/>
        </c:spPr>
        <c:marker>
          <c:symbol val="none"/>
        </c:marker>
      </c:pivotFmt>
      <c:pivotFmt>
        <c:idx val="104"/>
        <c:spPr>
          <a:solidFill>
            <a:schemeClr val="accent1"/>
          </a:solidFill>
          <a:ln w="28575" cap="rnd">
            <a:solidFill>
              <a:schemeClr val="accent1"/>
            </a:solidFill>
            <a:round/>
          </a:ln>
          <a:effectLst/>
        </c:spPr>
        <c:marker>
          <c:symbol val="none"/>
        </c:marker>
      </c:pivotFmt>
      <c:pivotFmt>
        <c:idx val="105"/>
        <c:spPr>
          <a:solidFill>
            <a:schemeClr val="accent1"/>
          </a:solidFill>
          <a:ln w="28575" cap="rnd">
            <a:solidFill>
              <a:schemeClr val="accent1"/>
            </a:solidFill>
            <a:round/>
          </a:ln>
          <a:effectLst/>
        </c:spPr>
        <c:marker>
          <c:symbol val="none"/>
        </c:marker>
      </c:pivotFmt>
      <c:pivotFmt>
        <c:idx val="106"/>
        <c:spPr>
          <a:solidFill>
            <a:schemeClr val="accent1"/>
          </a:solidFill>
          <a:ln w="28575" cap="rnd">
            <a:solidFill>
              <a:schemeClr val="accent1"/>
            </a:solidFill>
            <a:round/>
          </a:ln>
          <a:effectLst/>
        </c:spPr>
        <c:marker>
          <c:symbol val="none"/>
        </c:marker>
      </c:pivotFmt>
      <c:pivotFmt>
        <c:idx val="107"/>
        <c:spPr>
          <a:solidFill>
            <a:schemeClr val="accent1"/>
          </a:solidFill>
          <a:ln w="28575" cap="rnd">
            <a:solidFill>
              <a:schemeClr val="accent1"/>
            </a:solidFill>
            <a:round/>
          </a:ln>
          <a:effectLst/>
        </c:spPr>
        <c:marker>
          <c:symbol val="none"/>
        </c:marker>
      </c:pivotFmt>
      <c:pivotFmt>
        <c:idx val="108"/>
        <c:spPr>
          <a:solidFill>
            <a:schemeClr val="accent1"/>
          </a:solidFill>
          <a:ln w="28575" cap="rnd">
            <a:solidFill>
              <a:schemeClr val="accent1"/>
            </a:solidFill>
            <a:round/>
          </a:ln>
          <a:effectLst/>
        </c:spPr>
        <c:marker>
          <c:symbol val="none"/>
        </c:marker>
      </c:pivotFmt>
      <c:pivotFmt>
        <c:idx val="109"/>
        <c:spPr>
          <a:solidFill>
            <a:schemeClr val="accent1"/>
          </a:solidFill>
          <a:ln w="28575" cap="rnd">
            <a:solidFill>
              <a:schemeClr val="accent1"/>
            </a:solidFill>
            <a:round/>
          </a:ln>
          <a:effectLst/>
        </c:spPr>
        <c:marker>
          <c:symbol val="none"/>
        </c:marker>
      </c:pivotFmt>
      <c:pivotFmt>
        <c:idx val="110"/>
        <c:spPr>
          <a:solidFill>
            <a:schemeClr val="accent1"/>
          </a:solidFill>
          <a:ln w="28575" cap="rnd">
            <a:solidFill>
              <a:schemeClr val="accent1"/>
            </a:solidFill>
            <a:round/>
          </a:ln>
          <a:effectLst/>
        </c:spPr>
        <c:marker>
          <c:symbol val="none"/>
        </c:marker>
      </c:pivotFmt>
      <c:pivotFmt>
        <c:idx val="111"/>
        <c:spPr>
          <a:solidFill>
            <a:schemeClr val="accent1"/>
          </a:solidFill>
          <a:ln w="28575" cap="rnd">
            <a:solidFill>
              <a:schemeClr val="accent1"/>
            </a:solidFill>
            <a:round/>
          </a:ln>
          <a:effectLst/>
        </c:spPr>
        <c:marker>
          <c:symbol val="none"/>
        </c:marker>
      </c:pivotFmt>
      <c:pivotFmt>
        <c:idx val="112"/>
        <c:spPr>
          <a:solidFill>
            <a:schemeClr val="accent1"/>
          </a:solidFill>
          <a:ln w="28575" cap="rnd">
            <a:solidFill>
              <a:schemeClr val="accent1"/>
            </a:solidFill>
            <a:round/>
          </a:ln>
          <a:effectLst/>
        </c:spPr>
        <c:marker>
          <c:symbol val="none"/>
        </c:marker>
      </c:pivotFmt>
      <c:pivotFmt>
        <c:idx val="113"/>
        <c:spPr>
          <a:solidFill>
            <a:schemeClr val="accent1"/>
          </a:solidFill>
          <a:ln w="28575" cap="rnd">
            <a:solidFill>
              <a:schemeClr val="accent1"/>
            </a:solidFill>
            <a:round/>
          </a:ln>
          <a:effectLst/>
        </c:spPr>
        <c:marker>
          <c:symbol val="none"/>
        </c:marker>
      </c:pivotFmt>
      <c:pivotFmt>
        <c:idx val="114"/>
        <c:spPr>
          <a:solidFill>
            <a:schemeClr val="accent1"/>
          </a:solidFill>
          <a:ln w="28575" cap="rnd">
            <a:solidFill>
              <a:schemeClr val="accent1"/>
            </a:solidFill>
            <a:round/>
          </a:ln>
          <a:effectLst/>
        </c:spPr>
        <c:marker>
          <c:symbol val="none"/>
        </c:marker>
      </c:pivotFmt>
      <c:pivotFmt>
        <c:idx val="115"/>
        <c:spPr>
          <a:solidFill>
            <a:schemeClr val="accent1"/>
          </a:solidFill>
          <a:ln w="28575" cap="rnd">
            <a:solidFill>
              <a:schemeClr val="accent1"/>
            </a:solidFill>
            <a:round/>
          </a:ln>
          <a:effectLst/>
        </c:spPr>
        <c:marker>
          <c:symbol val="none"/>
        </c:marker>
      </c:pivotFmt>
      <c:pivotFmt>
        <c:idx val="116"/>
        <c:spPr>
          <a:solidFill>
            <a:schemeClr val="accent1"/>
          </a:solidFill>
          <a:ln w="28575" cap="rnd">
            <a:solidFill>
              <a:schemeClr val="accent1"/>
            </a:solidFill>
            <a:round/>
          </a:ln>
          <a:effectLst/>
        </c:spPr>
        <c:marker>
          <c:symbol val="none"/>
        </c:marker>
      </c:pivotFmt>
      <c:pivotFmt>
        <c:idx val="117"/>
        <c:spPr>
          <a:solidFill>
            <a:schemeClr val="accent1"/>
          </a:solidFill>
          <a:ln w="28575" cap="rnd">
            <a:solidFill>
              <a:schemeClr val="accent1"/>
            </a:solidFill>
            <a:round/>
          </a:ln>
          <a:effectLst/>
        </c:spPr>
        <c:marker>
          <c:symbol val="none"/>
        </c:marker>
      </c:pivotFmt>
      <c:pivotFmt>
        <c:idx val="118"/>
        <c:spPr>
          <a:solidFill>
            <a:schemeClr val="accent1"/>
          </a:solidFill>
          <a:ln w="28575" cap="rnd">
            <a:solidFill>
              <a:schemeClr val="accent1"/>
            </a:solidFill>
            <a:round/>
          </a:ln>
          <a:effectLst/>
        </c:spPr>
        <c:marker>
          <c:symbol val="none"/>
        </c:marker>
      </c:pivotFmt>
      <c:pivotFmt>
        <c:idx val="119"/>
        <c:spPr>
          <a:solidFill>
            <a:schemeClr val="accent1"/>
          </a:solidFill>
          <a:ln w="28575" cap="rnd">
            <a:solidFill>
              <a:schemeClr val="accent1"/>
            </a:solidFill>
            <a:round/>
          </a:ln>
          <a:effectLst/>
        </c:spPr>
        <c:marker>
          <c:symbol val="none"/>
        </c:marker>
      </c:pivotFmt>
      <c:pivotFmt>
        <c:idx val="120"/>
        <c:spPr>
          <a:solidFill>
            <a:schemeClr val="accent1"/>
          </a:solidFill>
          <a:ln w="28575" cap="rnd">
            <a:solidFill>
              <a:schemeClr val="accent1"/>
            </a:solidFill>
            <a:round/>
          </a:ln>
          <a:effectLst/>
        </c:spPr>
        <c:marker>
          <c:symbol val="none"/>
        </c:marker>
      </c:pivotFmt>
      <c:pivotFmt>
        <c:idx val="121"/>
        <c:spPr>
          <a:solidFill>
            <a:schemeClr val="accent1"/>
          </a:solidFill>
          <a:ln w="28575" cap="rnd">
            <a:solidFill>
              <a:schemeClr val="accent1"/>
            </a:solidFill>
            <a:round/>
          </a:ln>
          <a:effectLst/>
        </c:spPr>
        <c:marker>
          <c:symbol val="none"/>
        </c:marker>
      </c:pivotFmt>
      <c:pivotFmt>
        <c:idx val="122"/>
        <c:spPr>
          <a:solidFill>
            <a:schemeClr val="accent1"/>
          </a:solidFill>
          <a:ln w="28575" cap="rnd">
            <a:solidFill>
              <a:schemeClr val="accent1"/>
            </a:solidFill>
            <a:round/>
          </a:ln>
          <a:effectLst/>
        </c:spPr>
        <c:marker>
          <c:symbol val="none"/>
        </c:marker>
      </c:pivotFmt>
      <c:pivotFmt>
        <c:idx val="123"/>
        <c:spPr>
          <a:solidFill>
            <a:schemeClr val="accent1"/>
          </a:solidFill>
          <a:ln w="28575" cap="rnd">
            <a:solidFill>
              <a:schemeClr val="accent1"/>
            </a:solidFill>
            <a:round/>
          </a:ln>
          <a:effectLst/>
        </c:spPr>
        <c:marker>
          <c:symbol val="none"/>
        </c:marker>
      </c:pivotFmt>
      <c:pivotFmt>
        <c:idx val="124"/>
        <c:spPr>
          <a:solidFill>
            <a:schemeClr val="accent1"/>
          </a:solidFill>
          <a:ln w="28575" cap="rnd">
            <a:solidFill>
              <a:schemeClr val="accent1"/>
            </a:solidFill>
            <a:round/>
          </a:ln>
          <a:effectLst/>
        </c:spPr>
        <c:marker>
          <c:symbol val="none"/>
        </c:marker>
      </c:pivotFmt>
      <c:pivotFmt>
        <c:idx val="125"/>
        <c:spPr>
          <a:solidFill>
            <a:schemeClr val="accent1"/>
          </a:solidFill>
          <a:ln w="28575" cap="rnd">
            <a:solidFill>
              <a:schemeClr val="accent1"/>
            </a:solidFill>
            <a:round/>
          </a:ln>
          <a:effectLst/>
        </c:spPr>
        <c:marker>
          <c:symbol val="none"/>
        </c:marker>
      </c:pivotFmt>
      <c:pivotFmt>
        <c:idx val="126"/>
        <c:spPr>
          <a:solidFill>
            <a:schemeClr val="accent1"/>
          </a:solidFill>
          <a:ln w="28575" cap="rnd">
            <a:solidFill>
              <a:schemeClr val="accent1"/>
            </a:solidFill>
            <a:round/>
          </a:ln>
          <a:effectLst/>
        </c:spPr>
        <c:marker>
          <c:symbol val="none"/>
        </c:marker>
      </c:pivotFmt>
      <c:pivotFmt>
        <c:idx val="127"/>
        <c:spPr>
          <a:solidFill>
            <a:schemeClr val="accent1"/>
          </a:solidFill>
          <a:ln w="28575" cap="rnd">
            <a:solidFill>
              <a:schemeClr val="accent1"/>
            </a:solidFill>
            <a:round/>
          </a:ln>
          <a:effectLst/>
        </c:spPr>
        <c:marker>
          <c:symbol val="none"/>
        </c:marker>
      </c:pivotFmt>
      <c:pivotFmt>
        <c:idx val="128"/>
        <c:spPr>
          <a:solidFill>
            <a:schemeClr val="accent1"/>
          </a:solidFill>
          <a:ln w="28575" cap="rnd">
            <a:solidFill>
              <a:schemeClr val="accent1"/>
            </a:solidFill>
            <a:round/>
          </a:ln>
          <a:effectLst/>
        </c:spPr>
        <c:marker>
          <c:symbol val="none"/>
        </c:marker>
      </c:pivotFmt>
      <c:pivotFmt>
        <c:idx val="12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30"/>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1"/>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2"/>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3"/>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4"/>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5"/>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6"/>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7"/>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3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2"/>
        <c:spPr>
          <a:solidFill>
            <a:schemeClr val="accent1"/>
          </a:solidFill>
          <a:ln w="28575" cap="rnd">
            <a:solidFill>
              <a:schemeClr val="accent1"/>
            </a:solidFill>
            <a:round/>
          </a:ln>
          <a:effectLst/>
        </c:spPr>
        <c:marker>
          <c:symbol val="none"/>
        </c:marker>
      </c:pivotFmt>
      <c:pivotFmt>
        <c:idx val="143"/>
        <c:spPr>
          <a:solidFill>
            <a:schemeClr val="accent1"/>
          </a:solidFill>
          <a:ln w="28575" cap="rnd">
            <a:solidFill>
              <a:schemeClr val="accent1"/>
            </a:solidFill>
            <a:round/>
          </a:ln>
          <a:effectLst/>
        </c:spPr>
        <c:marker>
          <c:symbol val="none"/>
        </c:marker>
      </c:pivotFmt>
      <c:pivotFmt>
        <c:idx val="144"/>
        <c:spPr>
          <a:solidFill>
            <a:schemeClr val="accent1"/>
          </a:solidFill>
          <a:ln w="28575" cap="rnd">
            <a:solidFill>
              <a:srgbClr val="C00000"/>
            </a:solidFill>
            <a:round/>
          </a:ln>
          <a:effectLst/>
        </c:spPr>
        <c:marker>
          <c:symbol val="none"/>
        </c:marker>
        <c:dLbl>
          <c:idx val="0"/>
          <c:delete val="1"/>
          <c:extLst>
            <c:ext xmlns:c15="http://schemas.microsoft.com/office/drawing/2012/chart" uri="{CE6537A1-D6FC-4f65-9D91-7224C49458BB}"/>
          </c:extLst>
        </c:dLbl>
      </c:pivotFmt>
      <c:pivotFmt>
        <c:idx val="14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7"/>
        <c:spPr>
          <a:solidFill>
            <a:schemeClr val="accent1"/>
          </a:solidFill>
          <a:ln w="28575" cap="rnd">
            <a:solidFill>
              <a:schemeClr val="accent1"/>
            </a:solidFill>
            <a:round/>
          </a:ln>
          <a:effectLst/>
        </c:spPr>
        <c:marker>
          <c:symbol val="none"/>
        </c:marker>
      </c:pivotFmt>
      <c:pivotFmt>
        <c:idx val="148"/>
        <c:spPr>
          <a:solidFill>
            <a:schemeClr val="accent1"/>
          </a:solidFill>
          <a:ln w="28575" cap="rnd">
            <a:solidFill>
              <a:schemeClr val="accent1"/>
            </a:solidFill>
            <a:round/>
          </a:ln>
          <a:effectLst/>
        </c:spPr>
        <c:marker>
          <c:symbol val="none"/>
        </c:marker>
      </c:pivotFmt>
      <c:pivotFmt>
        <c:idx val="149"/>
        <c:spPr>
          <a:solidFill>
            <a:schemeClr val="accent1"/>
          </a:solidFill>
          <a:ln w="28575" cap="rnd">
            <a:solidFill>
              <a:schemeClr val="accent1"/>
            </a:solidFill>
            <a:round/>
          </a:ln>
          <a:effectLst/>
        </c:spPr>
        <c:marker>
          <c:symbol val="none"/>
        </c:marker>
      </c:pivotFmt>
      <c:pivotFmt>
        <c:idx val="150"/>
        <c:spPr>
          <a:solidFill>
            <a:schemeClr val="accent1"/>
          </a:solidFill>
          <a:ln w="28575" cap="rnd">
            <a:solidFill>
              <a:schemeClr val="accent1"/>
            </a:solidFill>
            <a:round/>
          </a:ln>
          <a:effectLst/>
        </c:spPr>
        <c:marker>
          <c:symbol val="none"/>
        </c:marker>
      </c:pivotFmt>
      <c:pivotFmt>
        <c:idx val="151"/>
        <c:spPr>
          <a:solidFill>
            <a:schemeClr val="accent1"/>
          </a:solidFill>
          <a:ln w="28575" cap="rnd">
            <a:solidFill>
              <a:schemeClr val="accent1"/>
            </a:solidFill>
            <a:round/>
          </a:ln>
          <a:effectLst/>
        </c:spPr>
        <c:marker>
          <c:symbol val="none"/>
        </c:marker>
      </c:pivotFmt>
      <c:pivotFmt>
        <c:idx val="152"/>
        <c:spPr>
          <a:solidFill>
            <a:schemeClr val="accent1"/>
          </a:solidFill>
          <a:ln w="28575" cap="rnd">
            <a:solidFill>
              <a:schemeClr val="accent1"/>
            </a:solidFill>
            <a:round/>
          </a:ln>
          <a:effectLst/>
        </c:spPr>
        <c:marker>
          <c:symbol val="none"/>
        </c:marker>
      </c:pivotFmt>
      <c:pivotFmt>
        <c:idx val="15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54"/>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55"/>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56"/>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57"/>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58"/>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59"/>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61"/>
        <c:spPr>
          <a:solidFill>
            <a:schemeClr val="accent1"/>
          </a:solidFill>
          <a:ln w="28575" cap="rnd">
            <a:solidFill>
              <a:srgbClr val="7030A0"/>
            </a:solidFill>
            <a:round/>
          </a:ln>
          <a:effectLst/>
        </c:spPr>
        <c:marker>
          <c:symbol val="none"/>
        </c:marker>
        <c:dLbl>
          <c:idx val="0"/>
          <c:delete val="1"/>
          <c:extLst>
            <c:ext xmlns:c15="http://schemas.microsoft.com/office/drawing/2012/chart" uri="{CE6537A1-D6FC-4f65-9D91-7224C49458BB}"/>
          </c:extLst>
        </c:dLbl>
      </c:pivotFmt>
      <c:pivotFmt>
        <c:idx val="16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63"/>
        <c:spPr>
          <a:solidFill>
            <a:schemeClr val="accent1"/>
          </a:solidFill>
          <a:ln w="28575" cap="rnd">
            <a:solidFill>
              <a:schemeClr val="accent1"/>
            </a:solidFill>
            <a:round/>
          </a:ln>
          <a:effectLst/>
        </c:spPr>
        <c:marker>
          <c:symbol val="none"/>
        </c:marker>
      </c:pivotFmt>
      <c:pivotFmt>
        <c:idx val="164"/>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5"/>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6"/>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7"/>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8"/>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9"/>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0"/>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1"/>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2"/>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3"/>
        <c:spPr>
          <a:solidFill>
            <a:schemeClr val="accent1"/>
          </a:solidFill>
          <a:ln w="28575" cap="rnd">
            <a:solidFill>
              <a:schemeClr val="accent5"/>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4"/>
        <c:spPr>
          <a:solidFill>
            <a:schemeClr val="accent1"/>
          </a:solidFill>
          <a:ln w="28575" cap="rnd">
            <a:solidFill>
              <a:schemeClr val="accent6"/>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5"/>
        <c:spPr>
          <a:solidFill>
            <a:schemeClr val="accent1"/>
          </a:solidFill>
          <a:ln w="28575" cap="rnd">
            <a:solidFill>
              <a:srgbClr val="C00000"/>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6"/>
        <c:spPr>
          <a:solidFill>
            <a:schemeClr val="accent1"/>
          </a:solidFill>
          <a:ln w="28575" cap="rnd">
            <a:solidFill>
              <a:srgbClr val="7030A0"/>
            </a:solidFill>
            <a:round/>
          </a:ln>
          <a:effectLst/>
        </c:spPr>
        <c:marker>
          <c:symbol val="none"/>
        </c:marker>
        <c:dLbl>
          <c:idx val="0"/>
          <c:layout>
            <c:manualLayout>
              <c:x val="-1.4506916586480184E-16"/>
              <c:y val="-2.539681451383675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7"/>
        <c:spPr>
          <a:solidFill>
            <a:schemeClr val="accent1"/>
          </a:solidFill>
          <a:ln w="28575" cap="rnd">
            <a:solidFill>
              <a:sysClr val="windowText" lastClr="000000"/>
            </a:solidFill>
            <a:prstDash val="sysDot"/>
            <a:round/>
          </a:ln>
          <a:effectLst/>
        </c:spPr>
        <c:marker>
          <c:symbol val="none"/>
        </c:marker>
        <c:dLbl>
          <c:idx val="0"/>
          <c:delete val="1"/>
          <c:extLst>
            <c:ext xmlns:c15="http://schemas.microsoft.com/office/drawing/2012/chart" uri="{CE6537A1-D6FC-4f65-9D91-7224C49458BB}"/>
          </c:extLst>
        </c:dLbl>
      </c:pivotFmt>
      <c:pivotFmt>
        <c:idx val="178"/>
        <c:spPr>
          <a:solidFill>
            <a:schemeClr val="accent1"/>
          </a:solidFill>
          <a:ln w="28575" cap="rnd">
            <a:solidFill>
              <a:sysClr val="windowText" lastClr="000000"/>
            </a:solidFill>
            <a:prstDash val="sysDot"/>
            <a:round/>
          </a:ln>
          <a:effectLst/>
        </c:spPr>
        <c:marker>
          <c:symbol val="none"/>
        </c:marker>
        <c:dLbl>
          <c:idx val="0"/>
          <c:layout>
            <c:manualLayout>
              <c:x val="-1.1386243795028297E-2"/>
              <c:y val="6.6734486731514771E-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9"/>
        <c:spPr>
          <a:solidFill>
            <a:schemeClr val="accent1"/>
          </a:solidFill>
          <a:ln w="28575" cap="rnd">
            <a:solidFill>
              <a:srgbClr val="7030A0"/>
            </a:solidFill>
            <a:round/>
          </a:ln>
          <a:effectLst/>
        </c:spPr>
        <c:marker>
          <c:symbol val="none"/>
        </c:marker>
        <c:dLbl>
          <c:idx val="0"/>
          <c:delete val="1"/>
          <c:extLst>
            <c:ext xmlns:c15="http://schemas.microsoft.com/office/drawing/2012/chart" uri="{CE6537A1-D6FC-4f65-9D91-7224C49458BB}"/>
          </c:extLst>
        </c:dLbl>
      </c:pivotFmt>
      <c:pivotFmt>
        <c:idx val="180"/>
        <c:spPr>
          <a:solidFill>
            <a:schemeClr val="accent1"/>
          </a:solidFill>
          <a:ln w="28575" cap="rnd">
            <a:solidFill>
              <a:srgbClr val="7030A0"/>
            </a:solidFill>
            <a:round/>
          </a:ln>
          <a:effectLst/>
        </c:spPr>
        <c:marker>
          <c:symbol val="none"/>
        </c:marker>
        <c:dLbl>
          <c:idx val="0"/>
          <c:layout>
            <c:manualLayout>
              <c:x val="-1.4506916586480184E-16"/>
              <c:y val="-2.539681451383675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8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82"/>
        <c:spPr>
          <a:solidFill>
            <a:schemeClr val="accent1"/>
          </a:solidFill>
          <a:ln w="28575" cap="rnd">
            <a:solidFill>
              <a:schemeClr val="accent3"/>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83"/>
        <c:spPr>
          <a:solidFill>
            <a:schemeClr val="accent1"/>
          </a:solidFill>
          <a:ln w="28575" cap="rnd">
            <a:solidFill>
              <a:srgbClr val="C00000"/>
            </a:solidFill>
            <a:round/>
          </a:ln>
          <a:effectLst/>
        </c:spPr>
        <c:marker>
          <c:symbol val="none"/>
        </c:marker>
        <c:dLbl>
          <c:idx val="0"/>
          <c:delete val="1"/>
          <c:extLst>
            <c:ext xmlns:c15="http://schemas.microsoft.com/office/drawing/2012/chart" uri="{CE6537A1-D6FC-4f65-9D91-7224C49458BB}"/>
          </c:extLst>
        </c:dLbl>
      </c:pivotFmt>
      <c:pivotFmt>
        <c:idx val="184"/>
        <c:spPr>
          <a:solidFill>
            <a:schemeClr val="accent1"/>
          </a:solidFill>
          <a:ln w="28575" cap="rnd">
            <a:solidFill>
              <a:srgbClr val="C00000"/>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8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86"/>
        <c:spPr>
          <a:solidFill>
            <a:schemeClr val="accent1"/>
          </a:solidFill>
          <a:ln w="28575" cap="rnd">
            <a:solidFill>
              <a:schemeClr val="accent5"/>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8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88"/>
        <c:spPr>
          <a:solidFill>
            <a:schemeClr val="accent1"/>
          </a:solidFill>
          <a:ln w="28575" cap="rnd">
            <a:solidFill>
              <a:schemeClr val="accent6"/>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89"/>
        <c:spPr>
          <a:solidFill>
            <a:schemeClr val="accent1"/>
          </a:solidFill>
          <a:ln w="28575" cap="rnd">
            <a:solidFill>
              <a:sysClr val="windowText" lastClr="000000"/>
            </a:solidFill>
            <a:prstDash val="sysDot"/>
            <a:round/>
          </a:ln>
          <a:effectLst/>
        </c:spPr>
        <c:marker>
          <c:symbol val="none"/>
        </c:marker>
        <c:dLbl>
          <c:idx val="0"/>
          <c:delete val="1"/>
          <c:extLst>
            <c:ext xmlns:c15="http://schemas.microsoft.com/office/drawing/2012/chart" uri="{CE6537A1-D6FC-4f65-9D91-7224C49458BB}"/>
          </c:extLst>
        </c:dLbl>
      </c:pivotFmt>
      <c:pivotFmt>
        <c:idx val="190"/>
        <c:spPr>
          <a:solidFill>
            <a:schemeClr val="accent1"/>
          </a:solidFill>
          <a:ln w="28575" cap="rnd">
            <a:solidFill>
              <a:sysClr val="windowText" lastClr="000000"/>
            </a:solidFill>
            <a:prstDash val="sysDot"/>
            <a:round/>
          </a:ln>
          <a:effectLst/>
        </c:spPr>
        <c:marker>
          <c:symbol val="none"/>
        </c:marker>
        <c:dLbl>
          <c:idx val="0"/>
          <c:layout>
            <c:manualLayout>
              <c:x val="-1.1386243795028297E-2"/>
              <c:y val="6.6734486731514771E-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91"/>
        <c:spPr>
          <a:solidFill>
            <a:schemeClr val="accent1"/>
          </a:solidFill>
          <a:ln w="28575" cap="rnd">
            <a:solidFill>
              <a:srgbClr val="7030A0"/>
            </a:solidFill>
            <a:round/>
          </a:ln>
          <a:effectLst/>
        </c:spPr>
        <c:marker>
          <c:symbol val="none"/>
        </c:marker>
        <c:dLbl>
          <c:idx val="0"/>
          <c:delete val="1"/>
          <c:extLst>
            <c:ext xmlns:c15="http://schemas.microsoft.com/office/drawing/2012/chart" uri="{CE6537A1-D6FC-4f65-9D91-7224C49458BB}"/>
          </c:extLst>
        </c:dLbl>
      </c:pivotFmt>
      <c:pivotFmt>
        <c:idx val="192"/>
        <c:spPr>
          <a:solidFill>
            <a:schemeClr val="accent1"/>
          </a:solidFill>
          <a:ln w="28575" cap="rnd">
            <a:solidFill>
              <a:srgbClr val="7030A0"/>
            </a:solidFill>
            <a:round/>
          </a:ln>
          <a:effectLst/>
        </c:spPr>
        <c:marker>
          <c:symbol val="none"/>
        </c:marker>
        <c:dLbl>
          <c:idx val="0"/>
          <c:layout>
            <c:manualLayout>
              <c:x val="-1.4506916586480184E-16"/>
              <c:y val="-2.539681451383675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9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94"/>
        <c:spPr>
          <a:solidFill>
            <a:schemeClr val="accent1"/>
          </a:solidFill>
          <a:ln w="28575" cap="rnd">
            <a:solidFill>
              <a:schemeClr val="accent3"/>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95"/>
        <c:spPr>
          <a:solidFill>
            <a:schemeClr val="accent1"/>
          </a:solidFill>
          <a:ln w="28575" cap="rnd">
            <a:solidFill>
              <a:srgbClr val="C00000"/>
            </a:solidFill>
            <a:round/>
          </a:ln>
          <a:effectLst/>
        </c:spPr>
        <c:marker>
          <c:symbol val="none"/>
        </c:marker>
        <c:dLbl>
          <c:idx val="0"/>
          <c:delete val="1"/>
          <c:extLst>
            <c:ext xmlns:c15="http://schemas.microsoft.com/office/drawing/2012/chart" uri="{CE6537A1-D6FC-4f65-9D91-7224C49458BB}"/>
          </c:extLst>
        </c:dLbl>
      </c:pivotFmt>
      <c:pivotFmt>
        <c:idx val="196"/>
        <c:spPr>
          <a:solidFill>
            <a:schemeClr val="accent1"/>
          </a:solidFill>
          <a:ln w="28575" cap="rnd">
            <a:solidFill>
              <a:srgbClr val="C00000"/>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9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98"/>
        <c:spPr>
          <a:solidFill>
            <a:schemeClr val="accent1"/>
          </a:solidFill>
          <a:ln w="28575" cap="rnd">
            <a:solidFill>
              <a:schemeClr val="accent5"/>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9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00"/>
        <c:spPr>
          <a:solidFill>
            <a:schemeClr val="accent1"/>
          </a:solidFill>
          <a:ln w="28575" cap="rnd">
            <a:solidFill>
              <a:schemeClr val="accent6"/>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s>
    <c:plotArea>
      <c:layout>
        <c:manualLayout>
          <c:layoutTarget val="inner"/>
          <c:xMode val="edge"/>
          <c:yMode val="edge"/>
          <c:x val="9.5964829095748674E-2"/>
          <c:y val="1.6786445012462268E-2"/>
          <c:w val="0.7924235636584771"/>
          <c:h val="0.86842221789895491"/>
        </c:manualLayout>
      </c:layout>
      <c:lineChart>
        <c:grouping val="standard"/>
        <c:ser>
          <c:idx val="0"/>
          <c:order val="0"/>
          <c:tx>
            <c:strRef>
              <c:f>'Befolkning indeks vekst'!$J$1:$J$2</c:f>
              <c:strCache>
                <c:ptCount val="1"/>
                <c:pt idx="0">
                  <c:v>Norge</c:v>
                </c:pt>
              </c:strCache>
            </c:strRef>
          </c:tx>
          <c:spPr>
            <a:ln w="28575" cap="rnd">
              <a:solidFill>
                <a:sysClr val="windowText" lastClr="000000"/>
              </a:solidFill>
              <a:prstDash val="sysDot"/>
              <a:round/>
            </a:ln>
            <a:effectLst/>
          </c:spPr>
          <c:marker>
            <c:symbol val="none"/>
          </c:marker>
          <c:dLbls>
            <c:dLbl>
              <c:idx val="14"/>
              <c:layout>
                <c:manualLayout>
                  <c:x val="-1.1386243795028297E-2"/>
                  <c:y val="6.6734486731514771E-4"/>
                </c:manualLayout>
              </c:layout>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'Befolkning indeks vekst'!$I$3:$I$17</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'Befolkning indeks vekst'!$J$3:$J$17</c:f>
              <c:numCache>
                <c:formatCode>General</c:formatCode>
                <c:ptCount val="15"/>
                <c:pt idx="0">
                  <c:v>100</c:v>
                </c:pt>
                <c:pt idx="1">
                  <c:v>100.5568609290126</c:v>
                </c:pt>
                <c:pt idx="2">
                  <c:v>101.0175065429317</c:v>
                </c:pt>
                <c:pt idx="3">
                  <c:v>101.64686947429017</c:v>
                </c:pt>
                <c:pt idx="4">
                  <c:v>102.20966989594949</c:v>
                </c:pt>
                <c:pt idx="5">
                  <c:v>102.85510964950964</c:v>
                </c:pt>
                <c:pt idx="6">
                  <c:v>103.61107755570671</c:v>
                </c:pt>
                <c:pt idx="7">
                  <c:v>104.52466530624002</c:v>
                </c:pt>
                <c:pt idx="8">
                  <c:v>105.77591098084916</c:v>
                </c:pt>
                <c:pt idx="9">
                  <c:v>107.16211264627397</c:v>
                </c:pt>
                <c:pt idx="10">
                  <c:v>108.47833547728173</c:v>
                </c:pt>
                <c:pt idx="11">
                  <c:v>109.86509536569967</c:v>
                </c:pt>
                <c:pt idx="12">
                  <c:v>111.32909098744511</c:v>
                </c:pt>
                <c:pt idx="13">
                  <c:v>112.78951398203459</c:v>
                </c:pt>
                <c:pt idx="14">
                  <c:v>114.07970129264343</c:v>
                </c:pt>
              </c:numCache>
            </c:numRef>
          </c:val>
        </c:ser>
        <c:ser>
          <c:idx val="1"/>
          <c:order val="1"/>
          <c:tx>
            <c:strRef>
              <c:f>'Befolkning indeks vekst'!$K$1:$K$2</c:f>
              <c:strCache>
                <c:ptCount val="1"/>
                <c:pt idx="0">
                  <c:v>Indre Østfold</c:v>
                </c:pt>
              </c:strCache>
            </c:strRef>
          </c:tx>
          <c:spPr>
            <a:ln w="28575" cap="rnd">
              <a:solidFill>
                <a:srgbClr val="7030A0"/>
              </a:solidFill>
              <a:round/>
            </a:ln>
            <a:effectLst/>
          </c:spPr>
          <c:marker>
            <c:symbol val="none"/>
          </c:marker>
          <c:dLbls>
            <c:dLbl>
              <c:idx val="14"/>
              <c:layout>
                <c:manualLayout>
                  <c:x val="-1.4506916586480184E-16"/>
                  <c:y val="-2.5396814513836758E-2"/>
                </c:manualLayout>
              </c:layout>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'Befolkning indeks vekst'!$I$3:$I$17</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'Befolkning indeks vekst'!$K$3:$K$17</c:f>
              <c:numCache>
                <c:formatCode>General</c:formatCode>
                <c:ptCount val="15"/>
                <c:pt idx="0">
                  <c:v>100</c:v>
                </c:pt>
                <c:pt idx="1">
                  <c:v>101.28934106684413</c:v>
                </c:pt>
                <c:pt idx="2">
                  <c:v>101.74574498431114</c:v>
                </c:pt>
                <c:pt idx="3">
                  <c:v>102.77455548160124</c:v>
                </c:pt>
                <c:pt idx="4">
                  <c:v>103.36027384235048</c:v>
                </c:pt>
                <c:pt idx="5">
                  <c:v>104.17229247884374</c:v>
                </c:pt>
                <c:pt idx="6">
                  <c:v>105.12693733954544</c:v>
                </c:pt>
                <c:pt idx="7">
                  <c:v>105.80964153275643</c:v>
                </c:pt>
                <c:pt idx="8">
                  <c:v>107.05714557383284</c:v>
                </c:pt>
                <c:pt idx="9">
                  <c:v>108.00418370257678</c:v>
                </c:pt>
                <c:pt idx="10">
                  <c:v>109.01778073595131</c:v>
                </c:pt>
                <c:pt idx="11">
                  <c:v>110.01806598839977</c:v>
                </c:pt>
                <c:pt idx="12">
                  <c:v>111.40249120471617</c:v>
                </c:pt>
                <c:pt idx="13">
                  <c:v>113.08928401635444</c:v>
                </c:pt>
                <c:pt idx="14">
                  <c:v>114.67718931254154</c:v>
                </c:pt>
              </c:numCache>
            </c:numRef>
          </c:val>
        </c:ser>
        <c:ser>
          <c:idx val="2"/>
          <c:order val="2"/>
          <c:tx>
            <c:strRef>
              <c:f>'Befolkning indeks vekst'!$L$1:$L$2</c:f>
              <c:strCache>
                <c:ptCount val="1"/>
                <c:pt idx="0">
                  <c:v>Øvre Romerike</c:v>
                </c:pt>
              </c:strCache>
            </c:strRef>
          </c:tx>
          <c:spPr>
            <a:ln w="28575" cap="rnd">
              <a:solidFill>
                <a:schemeClr val="accent3"/>
              </a:solidFill>
              <a:round/>
            </a:ln>
            <a:effectLst/>
          </c:spPr>
          <c:marker>
            <c:symbol val="none"/>
          </c:marker>
          <c:dLbls>
            <c:dLbl>
              <c:idx val="14"/>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'Befolkning indeks vekst'!$I$3:$I$17</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'Befolkning indeks vekst'!$L$3:$L$17</c:f>
              <c:numCache>
                <c:formatCode>General</c:formatCode>
                <c:ptCount val="15"/>
                <c:pt idx="0">
                  <c:v>100</c:v>
                </c:pt>
                <c:pt idx="1">
                  <c:v>102.84284512624571</c:v>
                </c:pt>
                <c:pt idx="2">
                  <c:v>105.89099100383513</c:v>
                </c:pt>
                <c:pt idx="3">
                  <c:v>108.45439899630743</c:v>
                </c:pt>
                <c:pt idx="4">
                  <c:v>110.68989606649457</c:v>
                </c:pt>
                <c:pt idx="5">
                  <c:v>112.66591579817796</c:v>
                </c:pt>
                <c:pt idx="6">
                  <c:v>114.56922484709372</c:v>
                </c:pt>
                <c:pt idx="7">
                  <c:v>116.91022369227706</c:v>
                </c:pt>
                <c:pt idx="8">
                  <c:v>119.84716499622189</c:v>
                </c:pt>
                <c:pt idx="9">
                  <c:v>122.71852411570978</c:v>
                </c:pt>
                <c:pt idx="10">
                  <c:v>125.41737357608247</c:v>
                </c:pt>
                <c:pt idx="11">
                  <c:v>128.30584109151565</c:v>
                </c:pt>
                <c:pt idx="12">
                  <c:v>131.58922741335317</c:v>
                </c:pt>
                <c:pt idx="13">
                  <c:v>134.24102878487611</c:v>
                </c:pt>
                <c:pt idx="14">
                  <c:v>136.84578206754961</c:v>
                </c:pt>
              </c:numCache>
            </c:numRef>
          </c:val>
        </c:ser>
        <c:ser>
          <c:idx val="3"/>
          <c:order val="3"/>
          <c:tx>
            <c:strRef>
              <c:f>'Befolkning indeks vekst'!$M$1:$M$2</c:f>
              <c:strCache>
                <c:ptCount val="1"/>
                <c:pt idx="0">
                  <c:v>Glåmdal</c:v>
                </c:pt>
              </c:strCache>
            </c:strRef>
          </c:tx>
          <c:spPr>
            <a:ln w="28575" cap="rnd">
              <a:solidFill>
                <a:srgbClr val="C00000"/>
              </a:solidFill>
              <a:round/>
            </a:ln>
            <a:effectLst/>
          </c:spPr>
          <c:marker>
            <c:symbol val="none"/>
          </c:marker>
          <c:dLbls>
            <c:dLbl>
              <c:idx val="14"/>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'Befolkning indeks vekst'!$I$3:$I$17</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'Befolkning indeks vekst'!$M$3:$M$17</c:f>
              <c:numCache>
                <c:formatCode>General</c:formatCode>
                <c:ptCount val="15"/>
                <c:pt idx="0">
                  <c:v>100</c:v>
                </c:pt>
                <c:pt idx="1">
                  <c:v>100.22671101778376</c:v>
                </c:pt>
                <c:pt idx="2">
                  <c:v>100.00743314812405</c:v>
                </c:pt>
                <c:pt idx="3">
                  <c:v>99.777005556278212</c:v>
                </c:pt>
                <c:pt idx="4">
                  <c:v>99.615334584579898</c:v>
                </c:pt>
                <c:pt idx="5">
                  <c:v>99.329158381803651</c:v>
                </c:pt>
                <c:pt idx="6">
                  <c:v>98.937059818259513</c:v>
                </c:pt>
                <c:pt idx="7">
                  <c:v>98.606284726738878</c:v>
                </c:pt>
                <c:pt idx="8">
                  <c:v>98.793971716871354</c:v>
                </c:pt>
                <c:pt idx="9">
                  <c:v>98.808838013119455</c:v>
                </c:pt>
                <c:pt idx="10">
                  <c:v>98.801404864995447</c:v>
                </c:pt>
                <c:pt idx="11">
                  <c:v>98.827420883429625</c:v>
                </c:pt>
                <c:pt idx="12">
                  <c:v>98.977942132941806</c:v>
                </c:pt>
                <c:pt idx="13">
                  <c:v>99.11917194729898</c:v>
                </c:pt>
                <c:pt idx="14">
                  <c:v>99.080147919647672</c:v>
                </c:pt>
              </c:numCache>
            </c:numRef>
          </c:val>
        </c:ser>
        <c:ser>
          <c:idx val="4"/>
          <c:order val="4"/>
          <c:tx>
            <c:strRef>
              <c:f>'Befolkning indeks vekst'!$N$1:$N$2</c:f>
              <c:strCache>
                <c:ptCount val="1"/>
                <c:pt idx="0">
                  <c:v>Hamarregionen</c:v>
                </c:pt>
              </c:strCache>
            </c:strRef>
          </c:tx>
          <c:spPr>
            <a:ln w="28575" cap="rnd">
              <a:solidFill>
                <a:schemeClr val="accent5"/>
              </a:solidFill>
              <a:round/>
            </a:ln>
            <a:effectLst/>
          </c:spPr>
          <c:marker>
            <c:symbol val="none"/>
          </c:marker>
          <c:dLbls>
            <c:dLbl>
              <c:idx val="14"/>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'Befolkning indeks vekst'!$I$3:$I$17</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'Befolkning indeks vekst'!$N$3:$N$17</c:f>
              <c:numCache>
                <c:formatCode>General</c:formatCode>
                <c:ptCount val="15"/>
                <c:pt idx="0">
                  <c:v>100</c:v>
                </c:pt>
                <c:pt idx="1">
                  <c:v>100.7552561747295</c:v>
                </c:pt>
                <c:pt idx="2">
                  <c:v>100.83090186472627</c:v>
                </c:pt>
                <c:pt idx="3">
                  <c:v>101.34601299184712</c:v>
                </c:pt>
                <c:pt idx="4">
                  <c:v>101.51771670088733</c:v>
                </c:pt>
                <c:pt idx="5">
                  <c:v>102.01481694943749</c:v>
                </c:pt>
                <c:pt idx="6">
                  <c:v>102.53833315322449</c:v>
                </c:pt>
                <c:pt idx="7">
                  <c:v>103.04263775320294</c:v>
                </c:pt>
                <c:pt idx="8">
                  <c:v>103.49290971746935</c:v>
                </c:pt>
                <c:pt idx="9">
                  <c:v>104.28298692410216</c:v>
                </c:pt>
                <c:pt idx="10">
                  <c:v>104.75607266789137</c:v>
                </c:pt>
                <c:pt idx="11">
                  <c:v>105.67702892547098</c:v>
                </c:pt>
                <c:pt idx="12">
                  <c:v>106.74807583780601</c:v>
                </c:pt>
                <c:pt idx="13">
                  <c:v>107.63901396443453</c:v>
                </c:pt>
                <c:pt idx="14">
                  <c:v>108.38466433725971</c:v>
                </c:pt>
              </c:numCache>
            </c:numRef>
          </c:val>
        </c:ser>
        <c:ser>
          <c:idx val="5"/>
          <c:order val="5"/>
          <c:tx>
            <c:strRef>
              <c:f>'Befolkning indeks vekst'!$O$1:$O$2</c:f>
              <c:strCache>
                <c:ptCount val="1"/>
                <c:pt idx="0">
                  <c:v>Sør Østerdal</c:v>
                </c:pt>
              </c:strCache>
            </c:strRef>
          </c:tx>
          <c:spPr>
            <a:ln w="28575" cap="rnd">
              <a:solidFill>
                <a:schemeClr val="accent6"/>
              </a:solidFill>
              <a:round/>
            </a:ln>
            <a:effectLst/>
          </c:spPr>
          <c:marker>
            <c:symbol val="none"/>
          </c:marker>
          <c:dLbls>
            <c:dLbl>
              <c:idx val="14"/>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'Befolkning indeks vekst'!$I$3:$I$17</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'Befolkning indeks vekst'!$O$3:$O$17</c:f>
              <c:numCache>
                <c:formatCode>General</c:formatCode>
                <c:ptCount val="15"/>
                <c:pt idx="0">
                  <c:v>100</c:v>
                </c:pt>
                <c:pt idx="1">
                  <c:v>100.31684562577014</c:v>
                </c:pt>
                <c:pt idx="2">
                  <c:v>100.95347063310447</c:v>
                </c:pt>
                <c:pt idx="3">
                  <c:v>101.07375462066537</c:v>
                </c:pt>
                <c:pt idx="4">
                  <c:v>101.23511118934459</c:v>
                </c:pt>
                <c:pt idx="5">
                  <c:v>101.08255588804789</c:v>
                </c:pt>
                <c:pt idx="6">
                  <c:v>101.15296602710791</c:v>
                </c:pt>
                <c:pt idx="7">
                  <c:v>101.18817109663786</c:v>
                </c:pt>
                <c:pt idx="8">
                  <c:v>101.72211465117647</c:v>
                </c:pt>
                <c:pt idx="9">
                  <c:v>102.21498562459662</c:v>
                </c:pt>
                <c:pt idx="10">
                  <c:v>102.66678401689838</c:v>
                </c:pt>
                <c:pt idx="11">
                  <c:v>103.04523851434607</c:v>
                </c:pt>
                <c:pt idx="12">
                  <c:v>103.58798333626709</c:v>
                </c:pt>
                <c:pt idx="13">
                  <c:v>103.96057032212636</c:v>
                </c:pt>
                <c:pt idx="14">
                  <c:v>104.68520800328577</c:v>
                </c:pt>
              </c:numCache>
            </c:numRef>
          </c:val>
        </c:ser>
        <c:marker val="1"/>
        <c:axId val="200110848"/>
        <c:axId val="200112384"/>
      </c:lineChart>
      <c:catAx>
        <c:axId val="200110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00112384"/>
        <c:crosses val="autoZero"/>
        <c:auto val="1"/>
        <c:lblAlgn val="ctr"/>
        <c:lblOffset val="100"/>
      </c:catAx>
      <c:valAx>
        <c:axId val="200112384"/>
        <c:scaling>
          <c:orientation val="minMax"/>
          <c:min val="95"/>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00110848"/>
        <c:crosses val="autoZero"/>
        <c:crossBetween val="between"/>
      </c:valAx>
      <c:spPr>
        <a:noFill/>
        <a:ln>
          <a:noFill/>
        </a:ln>
        <a:effectLst/>
      </c:spPr>
    </c:plotArea>
    <c:legend>
      <c:legendPos val="t"/>
      <c:layout>
        <c:manualLayout>
          <c:xMode val="edge"/>
          <c:yMode val="edge"/>
          <c:x val="9.8521076032688393E-2"/>
          <c:y val="3.9122813759921896E-2"/>
          <c:w val="0.45458356921071152"/>
          <c:h val="0.3631468876930709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pivotSource>
    <c:name>[Glåmdal grunnmur.xlsx]Indeks vekst basis!Basis</c:name>
    <c:fmtId val="45"/>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nb-NO"/>
              <a:t>Glåmdal</a:t>
            </a:r>
          </a:p>
        </c:rich>
      </c:tx>
      <c:layout>
        <c:manualLayout>
          <c:xMode val="edge"/>
          <c:yMode val="edge"/>
          <c:x val="0.74015781150384641"/>
          <c:y val="2.4024024024024031E-2"/>
        </c:manualLayout>
      </c:layout>
      <c:spPr>
        <a:noFill/>
        <a:ln>
          <a:noFill/>
        </a:ln>
        <a:effectLst/>
      </c:spPr>
    </c:title>
    <c:pivotFmts>
      <c:pivotFmt>
        <c:idx val="0"/>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4"/>
        <c:spPr>
          <a:solidFill>
            <a:schemeClr val="accent1"/>
          </a:solidFill>
          <a:ln w="28575" cap="rnd">
            <a:solidFill>
              <a:schemeClr val="accent2"/>
            </a:solidFill>
            <a:round/>
          </a:ln>
          <a:effectLst/>
        </c:spPr>
        <c:marker>
          <c:symbol val="none"/>
        </c:marker>
        <c:dLbl>
          <c:idx val="0"/>
          <c:layout>
            <c:manualLayout>
              <c:x val="0"/>
              <c:y val="1.225114657548282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5"/>
        <c:spPr>
          <a:solidFill>
            <a:schemeClr val="accent1"/>
          </a:solidFill>
          <a:ln w="28575" cap="rnd">
            <a:solidFill>
              <a:schemeClr val="accent6"/>
            </a:solidFill>
            <a:round/>
          </a:ln>
          <a:effectLst/>
        </c:spPr>
        <c:marker>
          <c:symbol val="none"/>
        </c:marker>
        <c:dLbl>
          <c:idx val="0"/>
          <c:layout>
            <c:manualLayout>
              <c:x val="0"/>
              <c:y val="8.1674310503219941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w="28575" cap="rnd">
            <a:solidFill>
              <a:schemeClr val="accent2"/>
            </a:solidFill>
            <a:round/>
          </a:ln>
          <a:effectLst/>
        </c:spPr>
        <c:marker>
          <c:symbol val="none"/>
        </c:marker>
        <c:dLbl>
          <c:idx val="0"/>
          <c:layout>
            <c:manualLayout>
              <c:x val="0"/>
              <c:y val="1.225114657548282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8"/>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9"/>
        <c:spPr>
          <a:solidFill>
            <a:schemeClr val="accent1"/>
          </a:solidFill>
          <a:ln w="28575" cap="rnd">
            <a:solidFill>
              <a:schemeClr val="accent6"/>
            </a:solidFill>
            <a:round/>
          </a:ln>
          <a:effectLst/>
        </c:spPr>
        <c:marker>
          <c:symbol val="none"/>
        </c:marker>
        <c:dLbl>
          <c:idx val="0"/>
          <c:layout>
            <c:manualLayout>
              <c:x val="0"/>
              <c:y val="8.1674310503219941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13"/>
        <c:spPr>
          <a:solidFill>
            <a:schemeClr val="accent1"/>
          </a:solidFill>
          <a:ln w="28575" cap="rnd">
            <a:solidFill>
              <a:schemeClr val="accent2"/>
            </a:solidFill>
            <a:round/>
          </a:ln>
          <a:effectLst/>
        </c:spPr>
        <c:marker>
          <c:symbol val="none"/>
        </c:marker>
        <c:dLbl>
          <c:idx val="0"/>
          <c:layout>
            <c:manualLayout>
              <c:x val="0"/>
              <c:y val="1.225114657548282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4"/>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15"/>
        <c:spPr>
          <a:solidFill>
            <a:schemeClr val="accent1"/>
          </a:solidFill>
          <a:ln w="28575" cap="rnd">
            <a:solidFill>
              <a:schemeClr val="accent6"/>
            </a:solidFill>
            <a:round/>
          </a:ln>
          <a:effectLst/>
        </c:spPr>
        <c:marker>
          <c:symbol val="none"/>
        </c:marker>
        <c:dLbl>
          <c:idx val="0"/>
          <c:layout>
            <c:manualLayout>
              <c:x val="0"/>
              <c:y val="8.1674310503219941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s>
    <c:plotArea>
      <c:layout>
        <c:manualLayout>
          <c:layoutTarget val="inner"/>
          <c:xMode val="edge"/>
          <c:yMode val="edge"/>
          <c:x val="0.11897017418277261"/>
          <c:y val="0.15401794638591995"/>
          <c:w val="0.77279912566134301"/>
          <c:h val="0.72113860842210842"/>
        </c:manualLayout>
      </c:layout>
      <c:lineChart>
        <c:grouping val="standard"/>
        <c:ser>
          <c:idx val="0"/>
          <c:order val="0"/>
          <c:tx>
            <c:strRef>
              <c:f>'Indeks vekst basis'!$K$1:$K$3</c:f>
              <c:strCache>
                <c:ptCount val="1"/>
                <c:pt idx="0">
                  <c:v>Basis - Industri</c:v>
                </c:pt>
              </c:strCache>
            </c:strRef>
          </c:tx>
          <c:spPr>
            <a:ln w="28575" cap="rnd">
              <a:solidFill>
                <a:schemeClr val="accent2"/>
              </a:solidFill>
              <a:round/>
            </a:ln>
            <a:effectLst/>
          </c:spPr>
          <c:marker>
            <c:symbol val="none"/>
          </c:marker>
          <c:dLbls>
            <c:dLbl>
              <c:idx val="13"/>
              <c:layout>
                <c:manualLayout>
                  <c:x val="0"/>
                  <c:y val="1.2251146575482827E-2"/>
                </c:manualLayout>
              </c:layout>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'Indeks vekst basis'!$J$4:$J$17</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'Indeks vekst basis'!$K$4:$K$17</c:f>
              <c:numCache>
                <c:formatCode>#,##0.0</c:formatCode>
                <c:ptCount val="14"/>
                <c:pt idx="0">
                  <c:v>100</c:v>
                </c:pt>
                <c:pt idx="1">
                  <c:v>95.208779443254784</c:v>
                </c:pt>
                <c:pt idx="2">
                  <c:v>86.804068522483888</c:v>
                </c:pt>
                <c:pt idx="3">
                  <c:v>80.754817987152066</c:v>
                </c:pt>
                <c:pt idx="4">
                  <c:v>76.820128479657384</c:v>
                </c:pt>
                <c:pt idx="5">
                  <c:v>74.812633832976417</c:v>
                </c:pt>
                <c:pt idx="6">
                  <c:v>75.133832976445333</c:v>
                </c:pt>
                <c:pt idx="7">
                  <c:v>76.846895074946474</c:v>
                </c:pt>
                <c:pt idx="8">
                  <c:v>75.642398286937876</c:v>
                </c:pt>
                <c:pt idx="9">
                  <c:v>66.75588865096357</c:v>
                </c:pt>
                <c:pt idx="10">
                  <c:v>61.991434689507479</c:v>
                </c:pt>
                <c:pt idx="11">
                  <c:v>61.429336188436842</c:v>
                </c:pt>
                <c:pt idx="12">
                  <c:v>59.796573875803013</c:v>
                </c:pt>
                <c:pt idx="13">
                  <c:v>57.548179871520354</c:v>
                </c:pt>
              </c:numCache>
            </c:numRef>
          </c:val>
        </c:ser>
        <c:ser>
          <c:idx val="1"/>
          <c:order val="1"/>
          <c:tx>
            <c:strRef>
              <c:f>'Indeks vekst basis'!$L$1:$L$3</c:f>
              <c:strCache>
                <c:ptCount val="1"/>
                <c:pt idx="0">
                  <c:v>Basis - Natur</c:v>
                </c:pt>
              </c:strCache>
            </c:strRef>
          </c:tx>
          <c:spPr>
            <a:ln w="28575" cap="rnd">
              <a:solidFill>
                <a:schemeClr val="accent6"/>
              </a:solidFill>
              <a:round/>
            </a:ln>
            <a:effectLst/>
          </c:spPr>
          <c:marker>
            <c:symbol val="none"/>
          </c:marker>
          <c:dLbls>
            <c:dLbl>
              <c:idx val="13"/>
              <c:layout>
                <c:manualLayout>
                  <c:x val="0"/>
                  <c:y val="8.1674310503219941E-3"/>
                </c:manualLayout>
              </c:layout>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'Indeks vekst basis'!$J$4:$J$17</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'Indeks vekst basis'!$L$4:$L$17</c:f>
              <c:numCache>
                <c:formatCode>#,##0.0</c:formatCode>
                <c:ptCount val="14"/>
                <c:pt idx="0">
                  <c:v>100</c:v>
                </c:pt>
                <c:pt idx="1">
                  <c:v>89.822718319106954</c:v>
                </c:pt>
                <c:pt idx="2">
                  <c:v>88.772160210111608</c:v>
                </c:pt>
                <c:pt idx="3">
                  <c:v>92.908732764280984</c:v>
                </c:pt>
                <c:pt idx="4">
                  <c:v>87.196323046618517</c:v>
                </c:pt>
                <c:pt idx="5">
                  <c:v>95.929087327642776</c:v>
                </c:pt>
                <c:pt idx="6">
                  <c:v>96.191726854891627</c:v>
                </c:pt>
                <c:pt idx="7">
                  <c:v>86.933683519369666</c:v>
                </c:pt>
                <c:pt idx="8">
                  <c:v>92.383453709783311</c:v>
                </c:pt>
                <c:pt idx="9">
                  <c:v>91.004596191726833</c:v>
                </c:pt>
                <c:pt idx="10">
                  <c:v>82.20617202889035</c:v>
                </c:pt>
                <c:pt idx="11">
                  <c:v>82.994090610636903</c:v>
                </c:pt>
                <c:pt idx="12">
                  <c:v>88.509520682862799</c:v>
                </c:pt>
                <c:pt idx="13">
                  <c:v>86.802363755745233</c:v>
                </c:pt>
              </c:numCache>
            </c:numRef>
          </c:val>
        </c:ser>
        <c:ser>
          <c:idx val="2"/>
          <c:order val="2"/>
          <c:tx>
            <c:strRef>
              <c:f>'Indeks vekst basis'!$M$1:$M$3</c:f>
              <c:strCache>
                <c:ptCount val="1"/>
                <c:pt idx="0">
                  <c:v>Basis - Tekn tjenester</c:v>
                </c:pt>
              </c:strCache>
            </c:strRef>
          </c:tx>
          <c:spPr>
            <a:ln w="28575" cap="rnd">
              <a:solidFill>
                <a:schemeClr val="accent1"/>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'Indeks vekst basis'!$J$4:$J$17</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'Indeks vekst basis'!$M$4:$M$17</c:f>
              <c:numCache>
                <c:formatCode>#,##0.0</c:formatCode>
                <c:ptCount val="14"/>
                <c:pt idx="0">
                  <c:v>100</c:v>
                </c:pt>
                <c:pt idx="1">
                  <c:v>142.13197969543148</c:v>
                </c:pt>
                <c:pt idx="2">
                  <c:v>150.76142131979702</c:v>
                </c:pt>
                <c:pt idx="3">
                  <c:v>155.32994923857868</c:v>
                </c:pt>
                <c:pt idx="4">
                  <c:v>160.40609137055839</c:v>
                </c:pt>
                <c:pt idx="5">
                  <c:v>158.88324873096451</c:v>
                </c:pt>
                <c:pt idx="6">
                  <c:v>163.95939086294422</c:v>
                </c:pt>
                <c:pt idx="7">
                  <c:v>159.8984771573605</c:v>
                </c:pt>
                <c:pt idx="8">
                  <c:v>165.48223350253812</c:v>
                </c:pt>
                <c:pt idx="9">
                  <c:v>157.86802030456857</c:v>
                </c:pt>
                <c:pt idx="10">
                  <c:v>147.71573604060919</c:v>
                </c:pt>
                <c:pt idx="11">
                  <c:v>146.70050761421319</c:v>
                </c:pt>
                <c:pt idx="12">
                  <c:v>157.86802030456857</c:v>
                </c:pt>
                <c:pt idx="13">
                  <c:v>148.22335025380701</c:v>
                </c:pt>
              </c:numCache>
            </c:numRef>
          </c:val>
        </c:ser>
        <c:marker val="1"/>
        <c:axId val="240666112"/>
        <c:axId val="240667648"/>
      </c:lineChart>
      <c:catAx>
        <c:axId val="240666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0667648"/>
        <c:crosses val="autoZero"/>
        <c:auto val="1"/>
        <c:lblAlgn val="ctr"/>
        <c:lblOffset val="100"/>
      </c:catAx>
      <c:valAx>
        <c:axId val="240667648"/>
        <c:scaling>
          <c:orientation val="minMax"/>
          <c:min val="50"/>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0666112"/>
        <c:crosses val="autoZero"/>
        <c:crossBetween val="between"/>
        <c:majorUnit val="20"/>
      </c:valAx>
      <c:spPr>
        <a:noFill/>
        <a:ln>
          <a:noFill/>
        </a:ln>
        <a:effectLst/>
      </c:spPr>
    </c:plotArea>
    <c:legend>
      <c:legendPos val="t"/>
      <c:layout>
        <c:manualLayout>
          <c:xMode val="edge"/>
          <c:yMode val="edge"/>
          <c:x val="0"/>
          <c:y val="0"/>
          <c:w val="0.78328320071102198"/>
          <c:h val="0.1241410933360515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pivotSource>
    <c:name>[Ringerike kommune grunnmur.xlsx]Indeks vekst basis besøk!Basis</c:name>
    <c:fmtId val="-1"/>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nb-NO"/>
              <a:t>Norge</a:t>
            </a:r>
          </a:p>
        </c:rich>
      </c:tx>
      <c:layout>
        <c:manualLayout>
          <c:xMode val="edge"/>
          <c:yMode val="edge"/>
          <c:x val="0.42076795611878443"/>
          <c:y val="5.5596738324684966E-2"/>
        </c:manualLayout>
      </c:layout>
      <c:spPr>
        <a:noFill/>
        <a:ln>
          <a:noFill/>
        </a:ln>
        <a:effectLst/>
      </c:spPr>
    </c:title>
    <c:pivotFmts>
      <c:pivotFmt>
        <c:idx val="0"/>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4"/>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5"/>
        <c:spPr>
          <a:solidFill>
            <a:schemeClr val="accent1"/>
          </a:solidFill>
          <a:ln w="28575" cap="rnd">
            <a:solidFill>
              <a:schemeClr val="accent6"/>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8"/>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9"/>
        <c:spPr>
          <a:solidFill>
            <a:schemeClr val="accent1"/>
          </a:solidFill>
          <a:ln w="28575" cap="rnd">
            <a:solidFill>
              <a:schemeClr val="accent6"/>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
        <c:spPr>
          <a:solidFill>
            <a:schemeClr val="accent1"/>
          </a:solidFill>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13"/>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4"/>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15"/>
        <c:spPr>
          <a:solidFill>
            <a:schemeClr val="accent1"/>
          </a:solidFill>
          <a:ln w="28575" cap="rnd">
            <a:solidFill>
              <a:schemeClr val="accent6"/>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s>
    <c:plotArea>
      <c:layout>
        <c:manualLayout>
          <c:layoutTarget val="inner"/>
          <c:xMode val="edge"/>
          <c:yMode val="edge"/>
          <c:x val="0.11897017418277261"/>
          <c:y val="0.16099297817572661"/>
          <c:w val="0.78011301364492525"/>
          <c:h val="0.71416330556901286"/>
        </c:manualLayout>
      </c:layout>
      <c:lineChart>
        <c:grouping val="standard"/>
        <c:ser>
          <c:idx val="0"/>
          <c:order val="0"/>
          <c:tx>
            <c:strRef>
              <c:f>'Indeks vekst basis besøk'!$K$1:$K$3</c:f>
              <c:strCache>
                <c:ptCount val="1"/>
                <c:pt idx="0">
                  <c:v>Basis - Industri</c:v>
                </c:pt>
              </c:strCache>
            </c:strRef>
          </c:tx>
          <c:spPr>
            <a:ln w="28575" cap="rnd">
              <a:solidFill>
                <a:schemeClr val="accent2"/>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'Indeks vekst basis besøk'!$J$4:$J$17</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'Indeks vekst basis besøk'!$K$4:$K$17</c:f>
              <c:numCache>
                <c:formatCode>#,##0.0</c:formatCode>
                <c:ptCount val="14"/>
                <c:pt idx="0">
                  <c:v>100</c:v>
                </c:pt>
                <c:pt idx="1">
                  <c:v>98.657101364698903</c:v>
                </c:pt>
                <c:pt idx="2">
                  <c:v>95.321990468236962</c:v>
                </c:pt>
                <c:pt idx="3">
                  <c:v>90.991108830464043</c:v>
                </c:pt>
                <c:pt idx="4">
                  <c:v>89.369166322892653</c:v>
                </c:pt>
                <c:pt idx="5">
                  <c:v>89.760565600464176</c:v>
                </c:pt>
                <c:pt idx="6">
                  <c:v>92.657993500155953</c:v>
                </c:pt>
                <c:pt idx="7">
                  <c:v>95.387391375800291</c:v>
                </c:pt>
                <c:pt idx="8">
                  <c:v>95.817695808640295</c:v>
                </c:pt>
                <c:pt idx="9">
                  <c:v>90.656390339447455</c:v>
                </c:pt>
                <c:pt idx="10">
                  <c:v>86.905732138005916</c:v>
                </c:pt>
                <c:pt idx="11">
                  <c:v>88.177863637430789</c:v>
                </c:pt>
                <c:pt idx="12">
                  <c:v>88.622925198131185</c:v>
                </c:pt>
                <c:pt idx="13">
                  <c:v>89.465758432524652</c:v>
                </c:pt>
              </c:numCache>
            </c:numRef>
          </c:val>
        </c:ser>
        <c:ser>
          <c:idx val="1"/>
          <c:order val="1"/>
          <c:tx>
            <c:strRef>
              <c:f>'Indeks vekst basis besøk'!$L$1:$L$3</c:f>
              <c:strCache>
                <c:ptCount val="1"/>
                <c:pt idx="0">
                  <c:v>Basis - Natur</c:v>
                </c:pt>
              </c:strCache>
            </c:strRef>
          </c:tx>
          <c:spPr>
            <a:ln w="28575" cap="rnd">
              <a:solidFill>
                <a:schemeClr val="accent6"/>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'Indeks vekst basis besøk'!$J$4:$J$17</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'Indeks vekst basis besøk'!$L$4:$L$17</c:f>
              <c:numCache>
                <c:formatCode>#,##0.0</c:formatCode>
                <c:ptCount val="14"/>
                <c:pt idx="0">
                  <c:v>100</c:v>
                </c:pt>
                <c:pt idx="1">
                  <c:v>93.515437892420152</c:v>
                </c:pt>
                <c:pt idx="2">
                  <c:v>91.181306233413125</c:v>
                </c:pt>
                <c:pt idx="3">
                  <c:v>93.229335232053799</c:v>
                </c:pt>
                <c:pt idx="4">
                  <c:v>87.436080005178326</c:v>
                </c:pt>
                <c:pt idx="5">
                  <c:v>89.862126998511229</c:v>
                </c:pt>
                <c:pt idx="6">
                  <c:v>90.930157291734091</c:v>
                </c:pt>
                <c:pt idx="7">
                  <c:v>87.3713508964981</c:v>
                </c:pt>
                <c:pt idx="8">
                  <c:v>87.175868988283995</c:v>
                </c:pt>
                <c:pt idx="9">
                  <c:v>85.859278917729242</c:v>
                </c:pt>
                <c:pt idx="10">
                  <c:v>80.976114958897043</c:v>
                </c:pt>
                <c:pt idx="11">
                  <c:v>79.390251796232761</c:v>
                </c:pt>
                <c:pt idx="12">
                  <c:v>77.838047770082184</c:v>
                </c:pt>
                <c:pt idx="13">
                  <c:v>75.408117030228482</c:v>
                </c:pt>
              </c:numCache>
            </c:numRef>
          </c:val>
        </c:ser>
        <c:ser>
          <c:idx val="2"/>
          <c:order val="2"/>
          <c:tx>
            <c:strRef>
              <c:f>'Indeks vekst basis besøk'!$M$1:$M$3</c:f>
              <c:strCache>
                <c:ptCount val="1"/>
                <c:pt idx="0">
                  <c:v>Basis - Tekn tjenester</c:v>
                </c:pt>
              </c:strCache>
            </c:strRef>
          </c:tx>
          <c:spPr>
            <a:ln w="28575" cap="rnd">
              <a:solidFill>
                <a:schemeClr val="accent1"/>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'Indeks vekst basis besøk'!$J$4:$J$17</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'Indeks vekst basis besøk'!$M$4:$M$17</c:f>
              <c:numCache>
                <c:formatCode>#,##0.0</c:formatCode>
                <c:ptCount val="14"/>
                <c:pt idx="0">
                  <c:v>100</c:v>
                </c:pt>
                <c:pt idx="1">
                  <c:v>105.77510960942843</c:v>
                </c:pt>
                <c:pt idx="2">
                  <c:v>119.63617714492575</c:v>
                </c:pt>
                <c:pt idx="3">
                  <c:v>109.79144040867224</c:v>
                </c:pt>
                <c:pt idx="4">
                  <c:v>111.25658662161619</c:v>
                </c:pt>
                <c:pt idx="5">
                  <c:v>116.87482402155985</c:v>
                </c:pt>
                <c:pt idx="6">
                  <c:v>125.20312939946102</c:v>
                </c:pt>
                <c:pt idx="7">
                  <c:v>133.32327742246898</c:v>
                </c:pt>
                <c:pt idx="8">
                  <c:v>136.42452033305176</c:v>
                </c:pt>
                <c:pt idx="9">
                  <c:v>136.63971682555001</c:v>
                </c:pt>
                <c:pt idx="10">
                  <c:v>145.25260448091387</c:v>
                </c:pt>
                <c:pt idx="11">
                  <c:v>151.193636619605</c:v>
                </c:pt>
                <c:pt idx="12">
                  <c:v>161.2404971642332</c:v>
                </c:pt>
                <c:pt idx="13">
                  <c:v>168.02421463336142</c:v>
                </c:pt>
              </c:numCache>
            </c:numRef>
          </c:val>
        </c:ser>
        <c:marker val="1"/>
        <c:axId val="241021312"/>
        <c:axId val="241022848"/>
      </c:lineChart>
      <c:catAx>
        <c:axId val="2410213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1022848"/>
        <c:crosses val="autoZero"/>
        <c:auto val="1"/>
        <c:lblAlgn val="ctr"/>
        <c:lblOffset val="100"/>
      </c:catAx>
      <c:valAx>
        <c:axId val="241022848"/>
        <c:scaling>
          <c:orientation val="minMax"/>
          <c:min val="60"/>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1021312"/>
        <c:crosses val="autoZero"/>
        <c:crossBetween val="between"/>
      </c:valAx>
      <c:spPr>
        <a:noFill/>
        <a:ln>
          <a:noFill/>
        </a:ln>
        <a:effectLst/>
      </c:spPr>
    </c:plotArea>
    <c:legend>
      <c:legendPos val="t"/>
      <c:layout>
        <c:manualLayout>
          <c:xMode val="edge"/>
          <c:yMode val="edge"/>
          <c:x val="9.4975719316342397E-2"/>
          <c:y val="0.17049666419570059"/>
          <c:w val="0.56663152777511572"/>
          <c:h val="0.2162660588479073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72227738394898"/>
          <c:y val="9.2786947304663844E-2"/>
          <c:w val="0.63524757352545025"/>
          <c:h val="0.84987866591117811"/>
        </c:manualLayout>
      </c:layout>
      <c:barChart>
        <c:barDir val="bar"/>
        <c:grouping val="stacked"/>
        <c:ser>
          <c:idx val="0"/>
          <c:order val="0"/>
          <c:tx>
            <c:strRef>
              <c:f>'Kommune nivå 2013'!$E$1</c:f>
              <c:strCache>
                <c:ptCount val="1"/>
                <c:pt idx="0">
                  <c:v>Industri</c:v>
                </c:pt>
              </c:strCache>
            </c:strRef>
          </c:tx>
          <c:spPr>
            <a:solidFill>
              <a:srgbClr val="C00000"/>
            </a:solidFill>
            <a:ln>
              <a:noFill/>
            </a:ln>
            <a:effectLst/>
          </c:spPr>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'Kommune nivå 2013'!$D$79:$D$100</c:f>
              <c:strCache>
                <c:ptCount val="22"/>
                <c:pt idx="0">
                  <c:v>Åmot - 379</c:v>
                </c:pt>
                <c:pt idx="1">
                  <c:v>Løten - 372</c:v>
                </c:pt>
                <c:pt idx="2">
                  <c:v>Engerdal - 337</c:v>
                </c:pt>
                <c:pt idx="3">
                  <c:v>Trysil - 323</c:v>
                </c:pt>
                <c:pt idx="4">
                  <c:v>Stange - 316</c:v>
                </c:pt>
                <c:pt idx="5">
                  <c:v>Hamar - 315</c:v>
                </c:pt>
                <c:pt idx="6">
                  <c:v>Tynset - 310</c:v>
                </c:pt>
                <c:pt idx="7">
                  <c:v>Elverum - 301</c:v>
                </c:pt>
                <c:pt idx="8">
                  <c:v>Kongsvinger - 299</c:v>
                </c:pt>
                <c:pt idx="9">
                  <c:v>Nord-Odal - 298</c:v>
                </c:pt>
                <c:pt idx="10">
                  <c:v>Sør-Odal - 282</c:v>
                </c:pt>
                <c:pt idx="11">
                  <c:v>Eidskog - 252</c:v>
                </c:pt>
                <c:pt idx="12">
                  <c:v>Stor-Elvdal - 241</c:v>
                </c:pt>
                <c:pt idx="13">
                  <c:v>Åsnes - 225</c:v>
                </c:pt>
                <c:pt idx="14">
                  <c:v>Rendalen - 183</c:v>
                </c:pt>
                <c:pt idx="15">
                  <c:v>Tolga - 162</c:v>
                </c:pt>
                <c:pt idx="16">
                  <c:v>Os - 155</c:v>
                </c:pt>
                <c:pt idx="17">
                  <c:v>Ringsaker - 152</c:v>
                </c:pt>
                <c:pt idx="18">
                  <c:v>Grue - 123</c:v>
                </c:pt>
                <c:pt idx="19">
                  <c:v>Folldal - 105</c:v>
                </c:pt>
                <c:pt idx="20">
                  <c:v>Våler - 80</c:v>
                </c:pt>
                <c:pt idx="21">
                  <c:v>Alvdal - 73</c:v>
                </c:pt>
              </c:strCache>
            </c:strRef>
          </c:cat>
          <c:val>
            <c:numRef>
              <c:f>'Kommune nivå 2013'!$E$79:$E$100</c:f>
              <c:numCache>
                <c:formatCode>0.0</c:formatCode>
                <c:ptCount val="22"/>
                <c:pt idx="0">
                  <c:v>1.4995313964386126</c:v>
                </c:pt>
                <c:pt idx="1">
                  <c:v>3.2884097035040432</c:v>
                </c:pt>
                <c:pt idx="2">
                  <c:v>1.2307692307692304</c:v>
                </c:pt>
                <c:pt idx="3">
                  <c:v>4.7853162897410684</c:v>
                </c:pt>
                <c:pt idx="4">
                  <c:v>6.8929612661391069</c:v>
                </c:pt>
                <c:pt idx="5">
                  <c:v>5.94107452339688</c:v>
                </c:pt>
                <c:pt idx="6">
                  <c:v>3.9889958734525441</c:v>
                </c:pt>
                <c:pt idx="7">
                  <c:v>8.3855799373040778</c:v>
                </c:pt>
                <c:pt idx="8">
                  <c:v>5.9979581419091383</c:v>
                </c:pt>
                <c:pt idx="9">
                  <c:v>8.6769759450171762</c:v>
                </c:pt>
                <c:pt idx="10">
                  <c:v>9.3204894558708666</c:v>
                </c:pt>
                <c:pt idx="11">
                  <c:v>10.45728465083304</c:v>
                </c:pt>
                <c:pt idx="12">
                  <c:v>7.8111587982832624</c:v>
                </c:pt>
                <c:pt idx="13">
                  <c:v>7.8437220399642111</c:v>
                </c:pt>
                <c:pt idx="14">
                  <c:v>7.4468085106382977</c:v>
                </c:pt>
                <c:pt idx="15">
                  <c:v>6.6059225512528466</c:v>
                </c:pt>
                <c:pt idx="16">
                  <c:v>7.4792243767313034</c:v>
                </c:pt>
                <c:pt idx="17">
                  <c:v>14.201183431952661</c:v>
                </c:pt>
                <c:pt idx="18">
                  <c:v>12.661613909942044</c:v>
                </c:pt>
                <c:pt idx="19">
                  <c:v>6.9295101553166063</c:v>
                </c:pt>
                <c:pt idx="20">
                  <c:v>15.831435079726658</c:v>
                </c:pt>
                <c:pt idx="21">
                  <c:v>16.499614494988432</c:v>
                </c:pt>
              </c:numCache>
            </c:numRef>
          </c:val>
        </c:ser>
        <c:ser>
          <c:idx val="1"/>
          <c:order val="1"/>
          <c:tx>
            <c:strRef>
              <c:f>'Kommune nivå 2013'!$F$1</c:f>
              <c:strCache>
                <c:ptCount val="1"/>
                <c:pt idx="0">
                  <c:v>Natur</c:v>
                </c:pt>
              </c:strCache>
            </c:strRef>
          </c:tx>
          <c:spPr>
            <a:solidFill>
              <a:srgbClr val="92D050"/>
            </a:solidFill>
            <a:ln>
              <a:noFill/>
            </a:ln>
            <a:effectLst/>
          </c:spPr>
          <c:dLbls>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'Kommune nivå 2013'!$D$79:$D$100</c:f>
              <c:strCache>
                <c:ptCount val="22"/>
                <c:pt idx="0">
                  <c:v>Åmot - 379</c:v>
                </c:pt>
                <c:pt idx="1">
                  <c:v>Løten - 372</c:v>
                </c:pt>
                <c:pt idx="2">
                  <c:v>Engerdal - 337</c:v>
                </c:pt>
                <c:pt idx="3">
                  <c:v>Trysil - 323</c:v>
                </c:pt>
                <c:pt idx="4">
                  <c:v>Stange - 316</c:v>
                </c:pt>
                <c:pt idx="5">
                  <c:v>Hamar - 315</c:v>
                </c:pt>
                <c:pt idx="6">
                  <c:v>Tynset - 310</c:v>
                </c:pt>
                <c:pt idx="7">
                  <c:v>Elverum - 301</c:v>
                </c:pt>
                <c:pt idx="8">
                  <c:v>Kongsvinger - 299</c:v>
                </c:pt>
                <c:pt idx="9">
                  <c:v>Nord-Odal - 298</c:v>
                </c:pt>
                <c:pt idx="10">
                  <c:v>Sør-Odal - 282</c:v>
                </c:pt>
                <c:pt idx="11">
                  <c:v>Eidskog - 252</c:v>
                </c:pt>
                <c:pt idx="12">
                  <c:v>Stor-Elvdal - 241</c:v>
                </c:pt>
                <c:pt idx="13">
                  <c:v>Åsnes - 225</c:v>
                </c:pt>
                <c:pt idx="14">
                  <c:v>Rendalen - 183</c:v>
                </c:pt>
                <c:pt idx="15">
                  <c:v>Tolga - 162</c:v>
                </c:pt>
                <c:pt idx="16">
                  <c:v>Os - 155</c:v>
                </c:pt>
                <c:pt idx="17">
                  <c:v>Ringsaker - 152</c:v>
                </c:pt>
                <c:pt idx="18">
                  <c:v>Grue - 123</c:v>
                </c:pt>
                <c:pt idx="19">
                  <c:v>Folldal - 105</c:v>
                </c:pt>
                <c:pt idx="20">
                  <c:v>Våler - 80</c:v>
                </c:pt>
                <c:pt idx="21">
                  <c:v>Alvdal - 73</c:v>
                </c:pt>
              </c:strCache>
            </c:strRef>
          </c:cat>
          <c:val>
            <c:numRef>
              <c:f>'Kommune nivå 2013'!$F$79:$F$100</c:f>
              <c:numCache>
                <c:formatCode>0.0</c:formatCode>
                <c:ptCount val="22"/>
                <c:pt idx="0">
                  <c:v>5.8106841611996254</c:v>
                </c:pt>
                <c:pt idx="1">
                  <c:v>4.0431266846361194</c:v>
                </c:pt>
                <c:pt idx="2">
                  <c:v>8.7692307692307683</c:v>
                </c:pt>
                <c:pt idx="3">
                  <c:v>5.3097345132743374</c:v>
                </c:pt>
                <c:pt idx="4">
                  <c:v>4.1024573094543921</c:v>
                </c:pt>
                <c:pt idx="5">
                  <c:v>1.0814558058925481</c:v>
                </c:pt>
                <c:pt idx="6">
                  <c:v>5.5020632737276474</c:v>
                </c:pt>
                <c:pt idx="7">
                  <c:v>2.7429467084639509</c:v>
                </c:pt>
                <c:pt idx="8">
                  <c:v>3.9561000510464535</c:v>
                </c:pt>
                <c:pt idx="9">
                  <c:v>3.9518900343642591</c:v>
                </c:pt>
                <c:pt idx="10">
                  <c:v>3.9052330122363981</c:v>
                </c:pt>
                <c:pt idx="11">
                  <c:v>4.6437433534207724</c:v>
                </c:pt>
                <c:pt idx="12">
                  <c:v>7.3819742489270368</c:v>
                </c:pt>
                <c:pt idx="13">
                  <c:v>8.0823143453623647</c:v>
                </c:pt>
                <c:pt idx="14">
                  <c:v>10.74468085106383</c:v>
                </c:pt>
                <c:pt idx="15">
                  <c:v>11.731207289293845</c:v>
                </c:pt>
                <c:pt idx="16">
                  <c:v>10.249307479224374</c:v>
                </c:pt>
                <c:pt idx="17">
                  <c:v>3.9306846999154681</c:v>
                </c:pt>
                <c:pt idx="18">
                  <c:v>8.7382969237628139</c:v>
                </c:pt>
                <c:pt idx="19">
                  <c:v>14.814814814814817</c:v>
                </c:pt>
                <c:pt idx="20">
                  <c:v>9.7949886104783559</c:v>
                </c:pt>
                <c:pt idx="21">
                  <c:v>9.3292212798766396</c:v>
                </c:pt>
              </c:numCache>
            </c:numRef>
          </c:val>
        </c:ser>
        <c:ser>
          <c:idx val="2"/>
          <c:order val="2"/>
          <c:tx>
            <c:strRef>
              <c:f>'Kommune nivå 2013'!$G$1</c:f>
              <c:strCache>
                <c:ptCount val="1"/>
                <c:pt idx="0">
                  <c:v>Tekn tjenester</c:v>
                </c:pt>
              </c:strCache>
            </c:strRef>
          </c:tx>
          <c:spPr>
            <a:solidFill>
              <a:schemeClr val="accent1"/>
            </a:solidFill>
            <a:ln>
              <a:noFill/>
            </a:ln>
            <a:effectLst/>
          </c:spPr>
          <c:dLbls>
            <c:dLbl>
              <c:idx val="5"/>
              <c:showVal val="1"/>
              <c:extLst>
                <c:ext xmlns:c15="http://schemas.microsoft.com/office/drawing/2012/chart" uri="{CE6537A1-D6FC-4f65-9D91-7224C49458BB}">
                  <c15:layout/>
                </c:ext>
              </c:extLst>
            </c:dLbl>
            <c:dLbl>
              <c:idx val="8"/>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'Kommune nivå 2013'!$D$79:$D$100</c:f>
              <c:strCache>
                <c:ptCount val="22"/>
                <c:pt idx="0">
                  <c:v>Åmot - 379</c:v>
                </c:pt>
                <c:pt idx="1">
                  <c:v>Løten - 372</c:v>
                </c:pt>
                <c:pt idx="2">
                  <c:v>Engerdal - 337</c:v>
                </c:pt>
                <c:pt idx="3">
                  <c:v>Trysil - 323</c:v>
                </c:pt>
                <c:pt idx="4">
                  <c:v>Stange - 316</c:v>
                </c:pt>
                <c:pt idx="5">
                  <c:v>Hamar - 315</c:v>
                </c:pt>
                <c:pt idx="6">
                  <c:v>Tynset - 310</c:v>
                </c:pt>
                <c:pt idx="7">
                  <c:v>Elverum - 301</c:v>
                </c:pt>
                <c:pt idx="8">
                  <c:v>Kongsvinger - 299</c:v>
                </c:pt>
                <c:pt idx="9">
                  <c:v>Nord-Odal - 298</c:v>
                </c:pt>
                <c:pt idx="10">
                  <c:v>Sør-Odal - 282</c:v>
                </c:pt>
                <c:pt idx="11">
                  <c:v>Eidskog - 252</c:v>
                </c:pt>
                <c:pt idx="12">
                  <c:v>Stor-Elvdal - 241</c:v>
                </c:pt>
                <c:pt idx="13">
                  <c:v>Åsnes - 225</c:v>
                </c:pt>
                <c:pt idx="14">
                  <c:v>Rendalen - 183</c:v>
                </c:pt>
                <c:pt idx="15">
                  <c:v>Tolga - 162</c:v>
                </c:pt>
                <c:pt idx="16">
                  <c:v>Os - 155</c:v>
                </c:pt>
                <c:pt idx="17">
                  <c:v>Ringsaker - 152</c:v>
                </c:pt>
                <c:pt idx="18">
                  <c:v>Grue - 123</c:v>
                </c:pt>
                <c:pt idx="19">
                  <c:v>Folldal - 105</c:v>
                </c:pt>
                <c:pt idx="20">
                  <c:v>Våler - 80</c:v>
                </c:pt>
                <c:pt idx="21">
                  <c:v>Alvdal - 73</c:v>
                </c:pt>
              </c:strCache>
            </c:strRef>
          </c:cat>
          <c:val>
            <c:numRef>
              <c:f>'Kommune nivå 2013'!$G$79:$G$100</c:f>
              <c:numCache>
                <c:formatCode>0.0</c:formatCode>
                <c:ptCount val="22"/>
                <c:pt idx="0">
                  <c:v>0.46860356138706671</c:v>
                </c:pt>
                <c:pt idx="1">
                  <c:v>0.78167115902964968</c:v>
                </c:pt>
                <c:pt idx="2">
                  <c:v>0.46153846153846168</c:v>
                </c:pt>
                <c:pt idx="3">
                  <c:v>1.2782694198623399</c:v>
                </c:pt>
                <c:pt idx="4">
                  <c:v>0.94752186588921261</c:v>
                </c:pt>
                <c:pt idx="5">
                  <c:v>5.0190641247833661</c:v>
                </c:pt>
                <c:pt idx="6">
                  <c:v>2.6478679504814315</c:v>
                </c:pt>
                <c:pt idx="7">
                  <c:v>1.5086206896551719</c:v>
                </c:pt>
                <c:pt idx="8">
                  <c:v>2.8586013272077588</c:v>
                </c:pt>
                <c:pt idx="9">
                  <c:v>0.21477663230240557</c:v>
                </c:pt>
                <c:pt idx="10">
                  <c:v>0.39052330122363987</c:v>
                </c:pt>
                <c:pt idx="11">
                  <c:v>0.21269053527118043</c:v>
                </c:pt>
                <c:pt idx="12">
                  <c:v>0.6008583690987126</c:v>
                </c:pt>
                <c:pt idx="13">
                  <c:v>0.74560095436922191</c:v>
                </c:pt>
                <c:pt idx="14">
                  <c:v>0.21276595744680857</c:v>
                </c:pt>
                <c:pt idx="15">
                  <c:v>1.0250569476082005</c:v>
                </c:pt>
                <c:pt idx="16">
                  <c:v>2.0313942751615892</c:v>
                </c:pt>
                <c:pt idx="17">
                  <c:v>1.7751479289940832</c:v>
                </c:pt>
                <c:pt idx="18">
                  <c:v>0.57958091841283998</c:v>
                </c:pt>
                <c:pt idx="19">
                  <c:v>1.9115890083632021</c:v>
                </c:pt>
                <c:pt idx="20">
                  <c:v>0.22779043280182246</c:v>
                </c:pt>
                <c:pt idx="21">
                  <c:v>0.4626060138781804</c:v>
                </c:pt>
              </c:numCache>
            </c:numRef>
          </c:val>
        </c:ser>
        <c:gapWidth val="30"/>
        <c:overlap val="100"/>
        <c:axId val="240941312"/>
        <c:axId val="240963584"/>
      </c:barChart>
      <c:catAx>
        <c:axId val="240941312"/>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0963584"/>
        <c:crosses val="autoZero"/>
        <c:auto val="1"/>
        <c:lblAlgn val="ctr"/>
        <c:lblOffset val="100"/>
      </c:catAx>
      <c:valAx>
        <c:axId val="240963584"/>
        <c:scaling>
          <c:orientation val="minMax"/>
          <c:max val="27"/>
          <c:min val="0"/>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094131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78145175582974"/>
          <c:y val="0.10668539548134373"/>
          <c:w val="0.61941683334599262"/>
          <c:h val="0.82543636819266897"/>
        </c:manualLayout>
      </c:layout>
      <c:barChart>
        <c:barDir val="bar"/>
        <c:grouping val="stacked"/>
        <c:ser>
          <c:idx val="0"/>
          <c:order val="0"/>
          <c:tx>
            <c:strRef>
              <c:f>'Kom Vekstimpuls 2000-2013'!$E$1</c:f>
              <c:strCache>
                <c:ptCount val="1"/>
                <c:pt idx="0">
                  <c:v>Industri</c:v>
                </c:pt>
              </c:strCache>
            </c:strRef>
          </c:tx>
          <c:spPr>
            <a:solidFill>
              <a:srgbClr val="C00000"/>
            </a:solidFill>
            <a:ln>
              <a:noFill/>
            </a:ln>
            <a:effectLst/>
          </c:spPr>
          <c:dLbls>
            <c:dLbl>
              <c:idx val="1"/>
              <c:showVal val="1"/>
              <c:extLst>
                <c:ext xmlns:c15="http://schemas.microsoft.com/office/drawing/2012/chart" uri="{CE6537A1-D6FC-4f65-9D91-7224C49458BB}">
                  <c15:layout/>
                </c:ext>
              </c:extLst>
            </c:dLbl>
            <c:dLbl>
              <c:idx val="2"/>
              <c:showVal val="1"/>
              <c:extLst>
                <c:ext xmlns:c15="http://schemas.microsoft.com/office/drawing/2012/chart" uri="{CE6537A1-D6FC-4f65-9D91-7224C49458BB}">
                  <c15:layout/>
                </c:ext>
              </c:extLst>
            </c:dLbl>
            <c:dLbl>
              <c:idx val="4"/>
              <c:showVal val="1"/>
              <c:extLst>
                <c:ext xmlns:c15="http://schemas.microsoft.com/office/drawing/2012/chart" uri="{CE6537A1-D6FC-4f65-9D91-7224C49458BB}">
                  <c15:layout/>
                </c:ext>
              </c:extLst>
            </c:dLbl>
            <c:dLbl>
              <c:idx val="8"/>
              <c:showVal val="1"/>
              <c:extLst>
                <c:ext xmlns:c15="http://schemas.microsoft.com/office/drawing/2012/chart" uri="{CE6537A1-D6FC-4f65-9D91-7224C49458BB}">
                  <c15:layout/>
                </c:ext>
              </c:extLst>
            </c:dLbl>
            <c:dLbl>
              <c:idx val="11"/>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 Vekstimpuls 2000-2013'!$D$79:$D$100</c:f>
              <c:strCache>
                <c:ptCount val="22"/>
                <c:pt idx="0">
                  <c:v>Engerdal - 414</c:v>
                </c:pt>
                <c:pt idx="1">
                  <c:v>Våler - 376</c:v>
                </c:pt>
                <c:pt idx="2">
                  <c:v>Åsnes - 375</c:v>
                </c:pt>
                <c:pt idx="3">
                  <c:v>Tolga - 370</c:v>
                </c:pt>
                <c:pt idx="4">
                  <c:v>Grue - 339</c:v>
                </c:pt>
                <c:pt idx="5">
                  <c:v>Sør-Odal - 337</c:v>
                </c:pt>
                <c:pt idx="6">
                  <c:v>Os - 335</c:v>
                </c:pt>
                <c:pt idx="7">
                  <c:v>Trysil - 329</c:v>
                </c:pt>
                <c:pt idx="8">
                  <c:v>Kongsvinger - 320</c:v>
                </c:pt>
                <c:pt idx="9">
                  <c:v>Ringsaker - 310</c:v>
                </c:pt>
                <c:pt idx="10">
                  <c:v>Åmot - 294</c:v>
                </c:pt>
                <c:pt idx="11">
                  <c:v>Eidskog - 291</c:v>
                </c:pt>
                <c:pt idx="12">
                  <c:v>Tynset - 272</c:v>
                </c:pt>
                <c:pt idx="13">
                  <c:v>Rendalen - 270</c:v>
                </c:pt>
                <c:pt idx="14">
                  <c:v>Elverum - 268</c:v>
                </c:pt>
                <c:pt idx="15">
                  <c:v>Stor-Elvdal - 264</c:v>
                </c:pt>
                <c:pt idx="16">
                  <c:v>Folldal - 257</c:v>
                </c:pt>
                <c:pt idx="17">
                  <c:v>Stange - 252</c:v>
                </c:pt>
                <c:pt idx="18">
                  <c:v>Løten - 202</c:v>
                </c:pt>
                <c:pt idx="19">
                  <c:v>Alvdal - 83</c:v>
                </c:pt>
                <c:pt idx="20">
                  <c:v>Hamar - 78</c:v>
                </c:pt>
                <c:pt idx="21">
                  <c:v>Nord-Odal - 75</c:v>
                </c:pt>
              </c:strCache>
            </c:strRef>
          </c:cat>
          <c:val>
            <c:numRef>
              <c:f>'Kom Vekstimpuls 2000-2013'!$E$79:$E$100</c:f>
              <c:numCache>
                <c:formatCode>0.0</c:formatCode>
                <c:ptCount val="22"/>
                <c:pt idx="0">
                  <c:v>-5.7220708446866464</c:v>
                </c:pt>
                <c:pt idx="1">
                  <c:v>-7.5342465753424674</c:v>
                </c:pt>
                <c:pt idx="2">
                  <c:v>-8.5476956055734181</c:v>
                </c:pt>
                <c:pt idx="3">
                  <c:v>-1.7341040462427744</c:v>
                </c:pt>
                <c:pt idx="4">
                  <c:v>-6.5252201761409108</c:v>
                </c:pt>
                <c:pt idx="5">
                  <c:v>-6.3487738419618527</c:v>
                </c:pt>
                <c:pt idx="6">
                  <c:v>-0.63694267515923575</c:v>
                </c:pt>
                <c:pt idx="7">
                  <c:v>-4.5246102109446653</c:v>
                </c:pt>
                <c:pt idx="8">
                  <c:v>-7.6373168116287369</c:v>
                </c:pt>
                <c:pt idx="9">
                  <c:v>-5.8668042034685044</c:v>
                </c:pt>
                <c:pt idx="10">
                  <c:v>-4.7160243407707894</c:v>
                </c:pt>
                <c:pt idx="11">
                  <c:v>-4.4305988231221898</c:v>
                </c:pt>
                <c:pt idx="12">
                  <c:v>-3.5143769968051117</c:v>
                </c:pt>
                <c:pt idx="13">
                  <c:v>-1.3415892672858616</c:v>
                </c:pt>
                <c:pt idx="14">
                  <c:v>-5.2607606467774968</c:v>
                </c:pt>
                <c:pt idx="15">
                  <c:v>-0.88300220750551872</c:v>
                </c:pt>
                <c:pt idx="16">
                  <c:v>-0.56497175141242961</c:v>
                </c:pt>
                <c:pt idx="17">
                  <c:v>-0.94836670179135896</c:v>
                </c:pt>
                <c:pt idx="18">
                  <c:v>-1.2148148148148148</c:v>
                </c:pt>
                <c:pt idx="19">
                  <c:v>4.1598694942903789</c:v>
                </c:pt>
                <c:pt idx="20">
                  <c:v>-0.86411256404374071</c:v>
                </c:pt>
                <c:pt idx="21">
                  <c:v>1.6727866177070581</c:v>
                </c:pt>
              </c:numCache>
            </c:numRef>
          </c:val>
        </c:ser>
        <c:ser>
          <c:idx val="1"/>
          <c:order val="1"/>
          <c:tx>
            <c:strRef>
              <c:f>'Kom Vekstimpuls 2000-2013'!$F$1</c:f>
              <c:strCache>
                <c:ptCount val="1"/>
                <c:pt idx="0">
                  <c:v>Natur</c:v>
                </c:pt>
              </c:strCache>
            </c:strRef>
          </c:tx>
          <c:spPr>
            <a:solidFill>
              <a:srgbClr val="92D050"/>
            </a:solidFill>
            <a:ln>
              <a:noFill/>
            </a:ln>
            <a:effectLst/>
          </c:spPr>
          <c:cat>
            <c:strRef>
              <c:f>'Kom Vekstimpuls 2000-2013'!$D$79:$D$100</c:f>
              <c:strCache>
                <c:ptCount val="22"/>
                <c:pt idx="0">
                  <c:v>Engerdal - 414</c:v>
                </c:pt>
                <c:pt idx="1">
                  <c:v>Våler - 376</c:v>
                </c:pt>
                <c:pt idx="2">
                  <c:v>Åsnes - 375</c:v>
                </c:pt>
                <c:pt idx="3">
                  <c:v>Tolga - 370</c:v>
                </c:pt>
                <c:pt idx="4">
                  <c:v>Grue - 339</c:v>
                </c:pt>
                <c:pt idx="5">
                  <c:v>Sør-Odal - 337</c:v>
                </c:pt>
                <c:pt idx="6">
                  <c:v>Os - 335</c:v>
                </c:pt>
                <c:pt idx="7">
                  <c:v>Trysil - 329</c:v>
                </c:pt>
                <c:pt idx="8">
                  <c:v>Kongsvinger - 320</c:v>
                </c:pt>
                <c:pt idx="9">
                  <c:v>Ringsaker - 310</c:v>
                </c:pt>
                <c:pt idx="10">
                  <c:v>Åmot - 294</c:v>
                </c:pt>
                <c:pt idx="11">
                  <c:v>Eidskog - 291</c:v>
                </c:pt>
                <c:pt idx="12">
                  <c:v>Tynset - 272</c:v>
                </c:pt>
                <c:pt idx="13">
                  <c:v>Rendalen - 270</c:v>
                </c:pt>
                <c:pt idx="14">
                  <c:v>Elverum - 268</c:v>
                </c:pt>
                <c:pt idx="15">
                  <c:v>Stor-Elvdal - 264</c:v>
                </c:pt>
                <c:pt idx="16">
                  <c:v>Folldal - 257</c:v>
                </c:pt>
                <c:pt idx="17">
                  <c:v>Stange - 252</c:v>
                </c:pt>
                <c:pt idx="18">
                  <c:v>Løten - 202</c:v>
                </c:pt>
                <c:pt idx="19">
                  <c:v>Alvdal - 83</c:v>
                </c:pt>
                <c:pt idx="20">
                  <c:v>Hamar - 78</c:v>
                </c:pt>
                <c:pt idx="21">
                  <c:v>Nord-Odal - 75</c:v>
                </c:pt>
              </c:strCache>
            </c:strRef>
          </c:cat>
          <c:val>
            <c:numRef>
              <c:f>'Kom Vekstimpuls 2000-2013'!$F$79:$F$100</c:f>
              <c:numCache>
                <c:formatCode>0.0</c:formatCode>
                <c:ptCount val="22"/>
                <c:pt idx="0">
                  <c:v>-8.8555858310626778</c:v>
                </c:pt>
                <c:pt idx="1">
                  <c:v>-2.1074815595363559</c:v>
                </c:pt>
                <c:pt idx="2">
                  <c:v>-1.232583065380493</c:v>
                </c:pt>
                <c:pt idx="3">
                  <c:v>-8.2080924855491286</c:v>
                </c:pt>
                <c:pt idx="4">
                  <c:v>-1.4811849479583663</c:v>
                </c:pt>
                <c:pt idx="5">
                  <c:v>-1.2261580381471391</c:v>
                </c:pt>
                <c:pt idx="6">
                  <c:v>-7.8252957233848974</c:v>
                </c:pt>
                <c:pt idx="7">
                  <c:v>-3.3017425863650249</c:v>
                </c:pt>
                <c:pt idx="8">
                  <c:v>3.5744072441320163E-2</c:v>
                </c:pt>
                <c:pt idx="9">
                  <c:v>-1.2958545548320548</c:v>
                </c:pt>
                <c:pt idx="10">
                  <c:v>-1.1156186612576064</c:v>
                </c:pt>
                <c:pt idx="11">
                  <c:v>-1.0384215991692622</c:v>
                </c:pt>
                <c:pt idx="12">
                  <c:v>-3.5143769968051117</c:v>
                </c:pt>
                <c:pt idx="13">
                  <c:v>-3.1991744066047469</c:v>
                </c:pt>
                <c:pt idx="14">
                  <c:v>-1.1386927806877705E-2</c:v>
                </c:pt>
                <c:pt idx="15">
                  <c:v>-3.8999264164827077</c:v>
                </c:pt>
                <c:pt idx="16">
                  <c:v>-3.5028248587570636</c:v>
                </c:pt>
                <c:pt idx="17">
                  <c:v>-1.2293642430628724</c:v>
                </c:pt>
                <c:pt idx="18">
                  <c:v>-1.5111111111111111</c:v>
                </c:pt>
                <c:pt idx="19">
                  <c:v>-3.3442088091353988</c:v>
                </c:pt>
                <c:pt idx="20">
                  <c:v>-6.8823124569855468E-2</c:v>
                </c:pt>
                <c:pt idx="21">
                  <c:v>-0.24479804161566712</c:v>
                </c:pt>
              </c:numCache>
            </c:numRef>
          </c:val>
        </c:ser>
        <c:ser>
          <c:idx val="2"/>
          <c:order val="2"/>
          <c:tx>
            <c:strRef>
              <c:f>'Kom Vekstimpuls 2000-2013'!$G$1</c:f>
              <c:strCache>
                <c:ptCount val="1"/>
                <c:pt idx="0">
                  <c:v>Tekn tjenester</c:v>
                </c:pt>
              </c:strCache>
            </c:strRef>
          </c:tx>
          <c:spPr>
            <a:solidFill>
              <a:schemeClr val="accent1"/>
            </a:solidFill>
            <a:ln>
              <a:noFill/>
            </a:ln>
            <a:effectLst/>
          </c:spPr>
          <c:cat>
            <c:strRef>
              <c:f>'Kom Vekstimpuls 2000-2013'!$D$79:$D$100</c:f>
              <c:strCache>
                <c:ptCount val="22"/>
                <c:pt idx="0">
                  <c:v>Engerdal - 414</c:v>
                </c:pt>
                <c:pt idx="1">
                  <c:v>Våler - 376</c:v>
                </c:pt>
                <c:pt idx="2">
                  <c:v>Åsnes - 375</c:v>
                </c:pt>
                <c:pt idx="3">
                  <c:v>Tolga - 370</c:v>
                </c:pt>
                <c:pt idx="4">
                  <c:v>Grue - 339</c:v>
                </c:pt>
                <c:pt idx="5">
                  <c:v>Sør-Odal - 337</c:v>
                </c:pt>
                <c:pt idx="6">
                  <c:v>Os - 335</c:v>
                </c:pt>
                <c:pt idx="7">
                  <c:v>Trysil - 329</c:v>
                </c:pt>
                <c:pt idx="8">
                  <c:v>Kongsvinger - 320</c:v>
                </c:pt>
                <c:pt idx="9">
                  <c:v>Ringsaker - 310</c:v>
                </c:pt>
                <c:pt idx="10">
                  <c:v>Åmot - 294</c:v>
                </c:pt>
                <c:pt idx="11">
                  <c:v>Eidskog - 291</c:v>
                </c:pt>
                <c:pt idx="12">
                  <c:v>Tynset - 272</c:v>
                </c:pt>
                <c:pt idx="13">
                  <c:v>Rendalen - 270</c:v>
                </c:pt>
                <c:pt idx="14">
                  <c:v>Elverum - 268</c:v>
                </c:pt>
                <c:pt idx="15">
                  <c:v>Stor-Elvdal - 264</c:v>
                </c:pt>
                <c:pt idx="16">
                  <c:v>Folldal - 257</c:v>
                </c:pt>
                <c:pt idx="17">
                  <c:v>Stange - 252</c:v>
                </c:pt>
                <c:pt idx="18">
                  <c:v>Løten - 202</c:v>
                </c:pt>
                <c:pt idx="19">
                  <c:v>Alvdal - 83</c:v>
                </c:pt>
                <c:pt idx="20">
                  <c:v>Hamar - 78</c:v>
                </c:pt>
                <c:pt idx="21">
                  <c:v>Nord-Odal - 75</c:v>
                </c:pt>
              </c:strCache>
            </c:strRef>
          </c:cat>
          <c:val>
            <c:numRef>
              <c:f>'Kom Vekstimpuls 2000-2013'!$G$79:$G$100</c:f>
              <c:numCache>
                <c:formatCode>0.0</c:formatCode>
                <c:ptCount val="22"/>
                <c:pt idx="0">
                  <c:v>0</c:v>
                </c:pt>
                <c:pt idx="1">
                  <c:v>-5.2687038988408874E-2</c:v>
                </c:pt>
                <c:pt idx="2">
                  <c:v>0.10718113612004287</c:v>
                </c:pt>
                <c:pt idx="3">
                  <c:v>0.92485549132948031</c:v>
                </c:pt>
                <c:pt idx="4">
                  <c:v>0.480384307445957</c:v>
                </c:pt>
                <c:pt idx="5">
                  <c:v>0.10899182561307905</c:v>
                </c:pt>
                <c:pt idx="6">
                  <c:v>1.00090991810737</c:v>
                </c:pt>
                <c:pt idx="7">
                  <c:v>0.73372057474778363</c:v>
                </c:pt>
                <c:pt idx="8">
                  <c:v>0.83402835696413702</c:v>
                </c:pt>
                <c:pt idx="9">
                  <c:v>1.0702082393140351</c:v>
                </c:pt>
                <c:pt idx="10">
                  <c:v>0.40567951318458434</c:v>
                </c:pt>
                <c:pt idx="11">
                  <c:v>0.10384215991692627</c:v>
                </c:pt>
                <c:pt idx="12">
                  <c:v>2.3074192403265892</c:v>
                </c:pt>
                <c:pt idx="13">
                  <c:v>-0.1031991744066048</c:v>
                </c:pt>
                <c:pt idx="14">
                  <c:v>0.71737645183329535</c:v>
                </c:pt>
                <c:pt idx="15">
                  <c:v>0.36791758646063288</c:v>
                </c:pt>
                <c:pt idx="16">
                  <c:v>-0.11299435028248592</c:v>
                </c:pt>
                <c:pt idx="17">
                  <c:v>-1.86160871092378</c:v>
                </c:pt>
                <c:pt idx="18">
                  <c:v>0.50370370370370354</c:v>
                </c:pt>
                <c:pt idx="19">
                  <c:v>0.40783034257748785</c:v>
                </c:pt>
                <c:pt idx="20">
                  <c:v>2.2482220692819466</c:v>
                </c:pt>
                <c:pt idx="21">
                  <c:v>0.12239902080783352</c:v>
                </c:pt>
              </c:numCache>
            </c:numRef>
          </c:val>
        </c:ser>
        <c:gapWidth val="30"/>
        <c:overlap val="100"/>
        <c:axId val="241137536"/>
        <c:axId val="241139072"/>
      </c:barChart>
      <c:catAx>
        <c:axId val="241137536"/>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1139072"/>
        <c:crosses val="autoZero"/>
        <c:auto val="1"/>
        <c:lblAlgn val="ctr"/>
        <c:lblOffset val="100"/>
      </c:catAx>
      <c:valAx>
        <c:axId val="241139072"/>
        <c:scaling>
          <c:orientation val="minMax"/>
          <c:max val="5"/>
          <c:min val="-15"/>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113753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88025085854897E-2"/>
          <c:y val="0.1133825200983735"/>
          <c:w val="0.87193748496023882"/>
          <c:h val="0.77480618072347263"/>
        </c:manualLayout>
      </c:layout>
      <c:barChart>
        <c:barDir val="col"/>
        <c:grouping val="stacked"/>
        <c:ser>
          <c:idx val="0"/>
          <c:order val="0"/>
          <c:tx>
            <c:strRef>
              <c:f>'Bransjejustert tid'!$J$17</c:f>
              <c:strCache>
                <c:ptCount val="1"/>
                <c:pt idx="0">
                  <c:v>Nasjonal vekst</c:v>
                </c:pt>
              </c:strCache>
            </c:strRef>
          </c:tx>
          <c:spPr>
            <a:solidFill>
              <a:schemeClr val="bg1">
                <a:lumMod val="50000"/>
              </a:schemeClr>
            </a:solidFill>
            <a:ln>
              <a:noFill/>
            </a:ln>
            <a:effectLst/>
          </c:spPr>
          <c:cat>
            <c:numRef>
              <c:f>'Bransjejustert tid'!$I$18:$I$28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'Bransjejustert tid'!$J$18:$J$28</c:f>
              <c:numCache>
                <c:formatCode>#,##0.0</c:formatCode>
                <c:ptCount val="11"/>
                <c:pt idx="0">
                  <c:v>-0.30976729020973226</c:v>
                </c:pt>
                <c:pt idx="1">
                  <c:v>-0.37153364178796638</c:v>
                </c:pt>
                <c:pt idx="2">
                  <c:v>-0.28313214759949928</c:v>
                </c:pt>
                <c:pt idx="3">
                  <c:v>0.25016812641223279</c:v>
                </c:pt>
                <c:pt idx="4">
                  <c:v>0.53574909656754699</c:v>
                </c:pt>
                <c:pt idx="5">
                  <c:v>0.46943393208925316</c:v>
                </c:pt>
                <c:pt idx="6">
                  <c:v>3.0426652743796301E-2</c:v>
                </c:pt>
                <c:pt idx="7">
                  <c:v>-0.22032970669371987</c:v>
                </c:pt>
                <c:pt idx="8">
                  <c:v>-0.17630286751144844</c:v>
                </c:pt>
                <c:pt idx="9">
                  <c:v>0.1317206456039533</c:v>
                </c:pt>
                <c:pt idx="10">
                  <c:v>0.28866337371304912</c:v>
                </c:pt>
              </c:numCache>
            </c:numRef>
          </c:val>
        </c:ser>
        <c:ser>
          <c:idx val="1"/>
          <c:order val="1"/>
          <c:tx>
            <c:strRef>
              <c:f>'Bransjejustert tid'!$K$17</c:f>
              <c:strCache>
                <c:ptCount val="1"/>
                <c:pt idx="0">
                  <c:v>Bransjeeffekt</c:v>
                </c:pt>
              </c:strCache>
            </c:strRef>
          </c:tx>
          <c:spPr>
            <a:solidFill>
              <a:schemeClr val="tx1"/>
            </a:solidFill>
            <a:ln>
              <a:noFill/>
            </a:ln>
            <a:effectLst/>
          </c:spPr>
          <c:cat>
            <c:numRef>
              <c:f>'Bransjejustert tid'!$I$18:$I$28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'Bransjejustert tid'!$K$18:$K$28</c:f>
              <c:numCache>
                <c:formatCode>#,##0.0</c:formatCode>
                <c:ptCount val="11"/>
                <c:pt idx="0">
                  <c:v>-0.36100907200336857</c:v>
                </c:pt>
                <c:pt idx="1">
                  <c:v>-0.19424223502700821</c:v>
                </c:pt>
                <c:pt idx="2">
                  <c:v>2.5382813123094258E-2</c:v>
                </c:pt>
                <c:pt idx="3">
                  <c:v>-0.18097394967606892</c:v>
                </c:pt>
                <c:pt idx="4">
                  <c:v>-0.23967580654275197</c:v>
                </c:pt>
                <c:pt idx="5">
                  <c:v>-0.25539497955233742</c:v>
                </c:pt>
                <c:pt idx="6">
                  <c:v>-0.25943521188713181</c:v>
                </c:pt>
                <c:pt idx="7">
                  <c:v>-0.29509523989380931</c:v>
                </c:pt>
                <c:pt idx="8">
                  <c:v>-0.38870225641572476</c:v>
                </c:pt>
                <c:pt idx="9">
                  <c:v>-0.46414054228877699</c:v>
                </c:pt>
                <c:pt idx="10">
                  <c:v>-0.45144557446461947</c:v>
                </c:pt>
              </c:numCache>
            </c:numRef>
          </c:val>
        </c:ser>
        <c:ser>
          <c:idx val="2"/>
          <c:order val="2"/>
          <c:tx>
            <c:strRef>
              <c:f>'Bransjejustert tid'!$L$17</c:f>
              <c:strCache>
                <c:ptCount val="1"/>
                <c:pt idx="0">
                  <c:v>Bransjejustert</c:v>
                </c:pt>
              </c:strCache>
            </c:strRef>
          </c:tx>
          <c:spPr>
            <a:solidFill>
              <a:srgbClr val="C00000"/>
            </a:solidFill>
            <a:ln>
              <a:noFill/>
            </a:ln>
            <a:effectLst/>
          </c:spPr>
          <c:cat>
            <c:numRef>
              <c:f>'Bransjejustert tid'!$I$18:$I$28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'Bransjejustert tid'!$L$18:$L$28</c:f>
              <c:numCache>
                <c:formatCode>#,##0.0</c:formatCode>
                <c:ptCount val="11"/>
                <c:pt idx="0">
                  <c:v>-0.27101728947268355</c:v>
                </c:pt>
                <c:pt idx="1">
                  <c:v>-0.35016583514180522</c:v>
                </c:pt>
                <c:pt idx="2">
                  <c:v>-0.1749281229184193</c:v>
                </c:pt>
                <c:pt idx="3">
                  <c:v>-0.26173221557064941</c:v>
                </c:pt>
                <c:pt idx="4">
                  <c:v>-0.29985065629322716</c:v>
                </c:pt>
                <c:pt idx="5">
                  <c:v>-0.22750410462013834</c:v>
                </c:pt>
                <c:pt idx="6">
                  <c:v>-0.29686422092536685</c:v>
                </c:pt>
                <c:pt idx="7">
                  <c:v>-0.34251381873055115</c:v>
                </c:pt>
                <c:pt idx="8">
                  <c:v>-0.37218742381291942</c:v>
                </c:pt>
                <c:pt idx="9">
                  <c:v>-6.6170774676854047E-2</c:v>
                </c:pt>
                <c:pt idx="10">
                  <c:v>3.3229852649199386E-2</c:v>
                </c:pt>
              </c:numCache>
            </c:numRef>
          </c:val>
        </c:ser>
        <c:gapWidth val="30"/>
        <c:overlap val="100"/>
        <c:axId val="241046656"/>
        <c:axId val="241048192"/>
      </c:barChart>
      <c:lineChart>
        <c:grouping val="standard"/>
        <c:ser>
          <c:idx val="3"/>
          <c:order val="3"/>
          <c:tx>
            <c:strRef>
              <c:f>'Bransjejustert tid'!$M$17</c:f>
              <c:strCache>
                <c:ptCount val="1"/>
                <c:pt idx="0">
                  <c:v>Arbeidsplassvekst</c:v>
                </c:pt>
              </c:strCache>
            </c:strRef>
          </c:tx>
          <c:spPr>
            <a:ln w="38100" cap="rnd">
              <a:solidFill>
                <a:srgbClr val="00B050"/>
              </a:solidFill>
              <a:prstDash val="solid"/>
              <a:round/>
            </a:ln>
            <a:effectLst/>
          </c:spPr>
          <c:marker>
            <c:symbol val="none"/>
          </c:marker>
          <c:cat>
            <c:numRef>
              <c:f>'Bransjejustert tid'!$I$18:$I$28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'Bransjejustert tid'!$M$18:$M$28</c:f>
              <c:numCache>
                <c:formatCode>#,##0.0</c:formatCode>
                <c:ptCount val="11"/>
                <c:pt idx="0">
                  <c:v>-0.94179365168578455</c:v>
                </c:pt>
                <c:pt idx="1">
                  <c:v>-0.91594171195677965</c:v>
                </c:pt>
                <c:pt idx="2">
                  <c:v>-0.43267745739482455</c:v>
                </c:pt>
                <c:pt idx="3">
                  <c:v>-0.19253803883448556</c:v>
                </c:pt>
                <c:pt idx="4">
                  <c:v>-3.7773662684324502E-3</c:v>
                </c:pt>
                <c:pt idx="5">
                  <c:v>-1.3465152083222683E-2</c:v>
                </c:pt>
                <c:pt idx="6">
                  <c:v>-0.52587278006870219</c:v>
                </c:pt>
                <c:pt idx="7">
                  <c:v>-0.85793876531808055</c:v>
                </c:pt>
                <c:pt idx="8">
                  <c:v>-0.93719254774009253</c:v>
                </c:pt>
                <c:pt idx="9">
                  <c:v>-0.39859067136167803</c:v>
                </c:pt>
                <c:pt idx="10">
                  <c:v>-0.12955234810237112</c:v>
                </c:pt>
              </c:numCache>
            </c:numRef>
          </c:val>
          <c:smooth val="1"/>
        </c:ser>
        <c:marker val="1"/>
        <c:axId val="241046656"/>
        <c:axId val="241048192"/>
      </c:lineChart>
      <c:catAx>
        <c:axId val="241046656"/>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1048192"/>
        <c:crosses val="autoZero"/>
        <c:auto val="1"/>
        <c:lblAlgn val="ctr"/>
        <c:lblOffset val="100"/>
      </c:catAx>
      <c:valAx>
        <c:axId val="241048192"/>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1046656"/>
        <c:crosses val="autoZero"/>
        <c:crossBetween val="between"/>
      </c:valAx>
      <c:spPr>
        <a:noFill/>
        <a:ln>
          <a:noFill/>
        </a:ln>
        <a:effectLst/>
      </c:spPr>
    </c:plotArea>
    <c:legend>
      <c:legendPos val="t"/>
      <c:layout>
        <c:manualLayout>
          <c:xMode val="edge"/>
          <c:yMode val="edge"/>
          <c:x val="5.3427771289354404E-3"/>
          <c:y val="0"/>
          <c:w val="0.98612440191387563"/>
          <c:h val="0.1005830808784212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barChart>
        <c:barDir val="bar"/>
        <c:grouping val="stacked"/>
        <c:ser>
          <c:idx val="0"/>
          <c:order val="0"/>
          <c:tx>
            <c:strRef>
              <c:f>'Kom Bransjejustert 2011-2013'!$E$1</c:f>
              <c:strCache>
                <c:ptCount val="1"/>
                <c:pt idx="0">
                  <c:v>Nasjonal vekst</c:v>
                </c:pt>
              </c:strCache>
            </c:strRef>
          </c:tx>
          <c:spPr>
            <a:solidFill>
              <a:schemeClr val="bg1">
                <a:lumMod val="65000"/>
              </a:schemeClr>
            </a:solidFill>
            <a:ln>
              <a:noFill/>
            </a:ln>
            <a:effectLst/>
          </c:spPr>
          <c:cat>
            <c:strRef>
              <c:f>'Kom Bransjejustert 2011-2013'!$D$79:$D$100</c:f>
              <c:strCache>
                <c:ptCount val="22"/>
                <c:pt idx="0">
                  <c:v>Tolga - 391</c:v>
                </c:pt>
                <c:pt idx="1">
                  <c:v>Alvdal - 373</c:v>
                </c:pt>
                <c:pt idx="2">
                  <c:v>Engerdal - 371</c:v>
                </c:pt>
                <c:pt idx="3">
                  <c:v>Grue - 363</c:v>
                </c:pt>
                <c:pt idx="4">
                  <c:v>Elverum - 339</c:v>
                </c:pt>
                <c:pt idx="5">
                  <c:v>Stor-Elvdal - 323</c:v>
                </c:pt>
                <c:pt idx="6">
                  <c:v>Rendalen - 294</c:v>
                </c:pt>
                <c:pt idx="7">
                  <c:v>Løten - 263</c:v>
                </c:pt>
                <c:pt idx="8">
                  <c:v>Kongsvinger - 254</c:v>
                </c:pt>
                <c:pt idx="9">
                  <c:v>Os - 245</c:v>
                </c:pt>
                <c:pt idx="10">
                  <c:v>Folldal - 243</c:v>
                </c:pt>
                <c:pt idx="11">
                  <c:v>Sør-Odal - 242</c:v>
                </c:pt>
                <c:pt idx="12">
                  <c:v>Trysil - 239</c:v>
                </c:pt>
                <c:pt idx="13">
                  <c:v>Stange - 211</c:v>
                </c:pt>
                <c:pt idx="14">
                  <c:v>Eidskog - 176</c:v>
                </c:pt>
                <c:pt idx="15">
                  <c:v>Ringsaker - 173</c:v>
                </c:pt>
                <c:pt idx="16">
                  <c:v>Tynset - 171</c:v>
                </c:pt>
                <c:pt idx="17">
                  <c:v>Våler - 163</c:v>
                </c:pt>
                <c:pt idx="18">
                  <c:v>Hamar - 127</c:v>
                </c:pt>
                <c:pt idx="19">
                  <c:v>Åsnes - 106</c:v>
                </c:pt>
                <c:pt idx="20">
                  <c:v>Åmot - 102</c:v>
                </c:pt>
                <c:pt idx="21">
                  <c:v>Nord-Odal - 47</c:v>
                </c:pt>
              </c:strCache>
            </c:strRef>
          </c:cat>
          <c:val>
            <c:numRef>
              <c:f>'Kom Bransjejustert 2011-2013'!$E$79:$E$100</c:f>
              <c:numCache>
                <c:formatCode>0.0</c:formatCode>
                <c:ptCount val="22"/>
                <c:pt idx="0">
                  <c:v>1.3008010289252423</c:v>
                </c:pt>
                <c:pt idx="1">
                  <c:v>1.6166561935732164</c:v>
                </c:pt>
                <c:pt idx="2">
                  <c:v>0.73606983019216088</c:v>
                </c:pt>
                <c:pt idx="3">
                  <c:v>1.3453137608251484</c:v>
                </c:pt>
                <c:pt idx="4">
                  <c:v>0.79663769269062068</c:v>
                </c:pt>
                <c:pt idx="5">
                  <c:v>0.94293474085499007</c:v>
                </c:pt>
                <c:pt idx="6">
                  <c:v>1.0752142699906555</c:v>
                </c:pt>
                <c:pt idx="7">
                  <c:v>0.51625474110822966</c:v>
                </c:pt>
                <c:pt idx="8">
                  <c:v>0.7142471618912879</c:v>
                </c:pt>
                <c:pt idx="9">
                  <c:v>1.1716755327817243</c:v>
                </c:pt>
                <c:pt idx="10">
                  <c:v>1.3998162330716779</c:v>
                </c:pt>
                <c:pt idx="11">
                  <c:v>0.78475980668921796</c:v>
                </c:pt>
                <c:pt idx="12">
                  <c:v>0.65275310315507984</c:v>
                </c:pt>
                <c:pt idx="13">
                  <c:v>0.70606164575934427</c:v>
                </c:pt>
                <c:pt idx="14">
                  <c:v>0.89688959288698666</c:v>
                </c:pt>
                <c:pt idx="15">
                  <c:v>1.136612283282129</c:v>
                </c:pt>
                <c:pt idx="16">
                  <c:v>0.67454843188668401</c:v>
                </c:pt>
                <c:pt idx="17">
                  <c:v>1.4667664661764819</c:v>
                </c:pt>
                <c:pt idx="18">
                  <c:v>0.6132341292926049</c:v>
                </c:pt>
                <c:pt idx="19">
                  <c:v>0.8943483398185077</c:v>
                </c:pt>
                <c:pt idx="20">
                  <c:v>0.42572292758137881</c:v>
                </c:pt>
                <c:pt idx="21">
                  <c:v>0.61975901419162915</c:v>
                </c:pt>
              </c:numCache>
            </c:numRef>
          </c:val>
        </c:ser>
        <c:ser>
          <c:idx val="1"/>
          <c:order val="1"/>
          <c:tx>
            <c:strRef>
              <c:f>'Kom Bransjejustert 2011-2013'!$F$1</c:f>
              <c:strCache>
                <c:ptCount val="1"/>
                <c:pt idx="0">
                  <c:v>Bransjeeffekt</c:v>
                </c:pt>
              </c:strCache>
            </c:strRef>
          </c:tx>
          <c:spPr>
            <a:solidFill>
              <a:schemeClr val="tx1"/>
            </a:solidFill>
            <a:ln>
              <a:noFill/>
            </a:ln>
            <a:effectLst/>
          </c:spPr>
          <c:cat>
            <c:strRef>
              <c:f>'Kom Bransjejustert 2011-2013'!$D$79:$D$100</c:f>
              <c:strCache>
                <c:ptCount val="22"/>
                <c:pt idx="0">
                  <c:v>Tolga - 391</c:v>
                </c:pt>
                <c:pt idx="1">
                  <c:v>Alvdal - 373</c:v>
                </c:pt>
                <c:pt idx="2">
                  <c:v>Engerdal - 371</c:v>
                </c:pt>
                <c:pt idx="3">
                  <c:v>Grue - 363</c:v>
                </c:pt>
                <c:pt idx="4">
                  <c:v>Elverum - 339</c:v>
                </c:pt>
                <c:pt idx="5">
                  <c:v>Stor-Elvdal - 323</c:v>
                </c:pt>
                <c:pt idx="6">
                  <c:v>Rendalen - 294</c:v>
                </c:pt>
                <c:pt idx="7">
                  <c:v>Løten - 263</c:v>
                </c:pt>
                <c:pt idx="8">
                  <c:v>Kongsvinger - 254</c:v>
                </c:pt>
                <c:pt idx="9">
                  <c:v>Os - 245</c:v>
                </c:pt>
                <c:pt idx="10">
                  <c:v>Folldal - 243</c:v>
                </c:pt>
                <c:pt idx="11">
                  <c:v>Sør-Odal - 242</c:v>
                </c:pt>
                <c:pt idx="12">
                  <c:v>Trysil - 239</c:v>
                </c:pt>
                <c:pt idx="13">
                  <c:v>Stange - 211</c:v>
                </c:pt>
                <c:pt idx="14">
                  <c:v>Eidskog - 176</c:v>
                </c:pt>
                <c:pt idx="15">
                  <c:v>Ringsaker - 173</c:v>
                </c:pt>
                <c:pt idx="16">
                  <c:v>Tynset - 171</c:v>
                </c:pt>
                <c:pt idx="17">
                  <c:v>Våler - 163</c:v>
                </c:pt>
                <c:pt idx="18">
                  <c:v>Hamar - 127</c:v>
                </c:pt>
                <c:pt idx="19">
                  <c:v>Åsnes - 106</c:v>
                </c:pt>
                <c:pt idx="20">
                  <c:v>Åmot - 102</c:v>
                </c:pt>
                <c:pt idx="21">
                  <c:v>Nord-Odal - 47</c:v>
                </c:pt>
              </c:strCache>
            </c:strRef>
          </c:cat>
          <c:val>
            <c:numRef>
              <c:f>'Kom Bransjejustert 2011-2013'!$F$79:$F$100</c:f>
              <c:numCache>
                <c:formatCode>0.0</c:formatCode>
                <c:ptCount val="22"/>
                <c:pt idx="0">
                  <c:v>-2.5973451176722779</c:v>
                </c:pt>
                <c:pt idx="1">
                  <c:v>-2.6665855565928869</c:v>
                </c:pt>
                <c:pt idx="2">
                  <c:v>-1.7027462185395295</c:v>
                </c:pt>
                <c:pt idx="3">
                  <c:v>-2.2493056500981381</c:v>
                </c:pt>
                <c:pt idx="4">
                  <c:v>-0.82325705176802233</c:v>
                </c:pt>
                <c:pt idx="5">
                  <c:v>-2.0751610401509155</c:v>
                </c:pt>
                <c:pt idx="6">
                  <c:v>-2.0682182519668735</c:v>
                </c:pt>
                <c:pt idx="7">
                  <c:v>-1.0074852098284419</c:v>
                </c:pt>
                <c:pt idx="8">
                  <c:v>-0.40035439744959816</c:v>
                </c:pt>
                <c:pt idx="9">
                  <c:v>-2.2717259018973293</c:v>
                </c:pt>
                <c:pt idx="10">
                  <c:v>-2.9352188829697794</c:v>
                </c:pt>
                <c:pt idx="11">
                  <c:v>-0.91868369073198608</c:v>
                </c:pt>
                <c:pt idx="12">
                  <c:v>-1.0695712377235018</c:v>
                </c:pt>
                <c:pt idx="13">
                  <c:v>-0.93787974809545804</c:v>
                </c:pt>
                <c:pt idx="14">
                  <c:v>-1.7327094307473674</c:v>
                </c:pt>
                <c:pt idx="15">
                  <c:v>-1.3343908623777443</c:v>
                </c:pt>
                <c:pt idx="16">
                  <c:v>-1.0224187065548864</c:v>
                </c:pt>
                <c:pt idx="17">
                  <c:v>-3.2411179328434687</c:v>
                </c:pt>
                <c:pt idx="18">
                  <c:v>-9.3542585397187697E-2</c:v>
                </c:pt>
                <c:pt idx="19">
                  <c:v>-1.7661256237831717</c:v>
                </c:pt>
                <c:pt idx="20">
                  <c:v>-0.98517929363696133</c:v>
                </c:pt>
                <c:pt idx="21">
                  <c:v>-1.469757894603378</c:v>
                </c:pt>
              </c:numCache>
            </c:numRef>
          </c:val>
        </c:ser>
        <c:ser>
          <c:idx val="2"/>
          <c:order val="2"/>
          <c:tx>
            <c:strRef>
              <c:f>'Kom Bransjejustert 2011-2013'!$G$1</c:f>
              <c:strCache>
                <c:ptCount val="1"/>
                <c:pt idx="0">
                  <c:v>Bransjejustert</c:v>
                </c:pt>
              </c:strCache>
            </c:strRef>
          </c:tx>
          <c:spPr>
            <a:solidFill>
              <a:srgbClr val="C00000"/>
            </a:solidFill>
            <a:ln>
              <a:noFill/>
            </a:ln>
            <a:effectLst/>
          </c:spPr>
          <c:cat>
            <c:strRef>
              <c:f>'Kom Bransjejustert 2011-2013'!$D$79:$D$100</c:f>
              <c:strCache>
                <c:ptCount val="22"/>
                <c:pt idx="0">
                  <c:v>Tolga - 391</c:v>
                </c:pt>
                <c:pt idx="1">
                  <c:v>Alvdal - 373</c:v>
                </c:pt>
                <c:pt idx="2">
                  <c:v>Engerdal - 371</c:v>
                </c:pt>
                <c:pt idx="3">
                  <c:v>Grue - 363</c:v>
                </c:pt>
                <c:pt idx="4">
                  <c:v>Elverum - 339</c:v>
                </c:pt>
                <c:pt idx="5">
                  <c:v>Stor-Elvdal - 323</c:v>
                </c:pt>
                <c:pt idx="6">
                  <c:v>Rendalen - 294</c:v>
                </c:pt>
                <c:pt idx="7">
                  <c:v>Løten - 263</c:v>
                </c:pt>
                <c:pt idx="8">
                  <c:v>Kongsvinger - 254</c:v>
                </c:pt>
                <c:pt idx="9">
                  <c:v>Os - 245</c:v>
                </c:pt>
                <c:pt idx="10">
                  <c:v>Folldal - 243</c:v>
                </c:pt>
                <c:pt idx="11">
                  <c:v>Sør-Odal - 242</c:v>
                </c:pt>
                <c:pt idx="12">
                  <c:v>Trysil - 239</c:v>
                </c:pt>
                <c:pt idx="13">
                  <c:v>Stange - 211</c:v>
                </c:pt>
                <c:pt idx="14">
                  <c:v>Eidskog - 176</c:v>
                </c:pt>
                <c:pt idx="15">
                  <c:v>Ringsaker - 173</c:v>
                </c:pt>
                <c:pt idx="16">
                  <c:v>Tynset - 171</c:v>
                </c:pt>
                <c:pt idx="17">
                  <c:v>Våler - 163</c:v>
                </c:pt>
                <c:pt idx="18">
                  <c:v>Hamar - 127</c:v>
                </c:pt>
                <c:pt idx="19">
                  <c:v>Åsnes - 106</c:v>
                </c:pt>
                <c:pt idx="20">
                  <c:v>Åmot - 102</c:v>
                </c:pt>
                <c:pt idx="21">
                  <c:v>Nord-Odal - 47</c:v>
                </c:pt>
              </c:strCache>
            </c:strRef>
          </c:cat>
          <c:val>
            <c:numRef>
              <c:f>'Kom Bransjejustert 2011-2013'!$G$79:$G$100</c:f>
              <c:numCache>
                <c:formatCode>0.0</c:formatCode>
                <c:ptCount val="22"/>
                <c:pt idx="0">
                  <c:v>-3.2388541413414602</c:v>
                </c:pt>
                <c:pt idx="1">
                  <c:v>-2.529488981499346</c:v>
                </c:pt>
                <c:pt idx="2">
                  <c:v>-2.3714948743521957</c:v>
                </c:pt>
                <c:pt idx="3">
                  <c:v>-2.0219977837046352</c:v>
                </c:pt>
                <c:pt idx="4">
                  <c:v>-1.2911555126658838</c:v>
                </c:pt>
                <c:pt idx="5">
                  <c:v>-1.1024105722124555</c:v>
                </c:pt>
                <c:pt idx="6">
                  <c:v>-0.82517783620560103</c:v>
                </c:pt>
                <c:pt idx="7">
                  <c:v>-0.49832423166461493</c:v>
                </c:pt>
                <c:pt idx="8">
                  <c:v>-0.44028305766717024</c:v>
                </c:pt>
                <c:pt idx="9">
                  <c:v>-0.36247248280395689</c:v>
                </c:pt>
                <c:pt idx="10">
                  <c:v>-0.34253162240236695</c:v>
                </c:pt>
                <c:pt idx="11">
                  <c:v>-0.33458210242261455</c:v>
                </c:pt>
                <c:pt idx="12">
                  <c:v>-0.3112603712878616</c:v>
                </c:pt>
                <c:pt idx="13">
                  <c:v>-0.12248724445366516</c:v>
                </c:pt>
                <c:pt idx="14">
                  <c:v>0.22650084144461002</c:v>
                </c:pt>
                <c:pt idx="15">
                  <c:v>0.25982486562536661</c:v>
                </c:pt>
                <c:pt idx="16">
                  <c:v>0.27968070767195308</c:v>
                </c:pt>
                <c:pt idx="17">
                  <c:v>0.40072509304061227</c:v>
                </c:pt>
                <c:pt idx="18">
                  <c:v>0.76027451225336995</c:v>
                </c:pt>
                <c:pt idx="19">
                  <c:v>1.0458921998091211</c:v>
                </c:pt>
                <c:pt idx="20">
                  <c:v>1.154694461293678</c:v>
                </c:pt>
                <c:pt idx="21">
                  <c:v>2.4204572844864534</c:v>
                </c:pt>
              </c:numCache>
            </c:numRef>
          </c:val>
        </c:ser>
        <c:gapWidth val="30"/>
        <c:overlap val="100"/>
        <c:axId val="241105536"/>
        <c:axId val="241697152"/>
      </c:barChart>
      <c:catAx>
        <c:axId val="241105536"/>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1697152"/>
        <c:crosses val="autoZero"/>
        <c:auto val="1"/>
        <c:lblAlgn val="ctr"/>
        <c:lblOffset val="100"/>
      </c:catAx>
      <c:valAx>
        <c:axId val="24169715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110553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pivotSource>
    <c:name>[Glåmdal grunnmur.xlsx]Areal besøk!besøk regioner areal</c:name>
    <c:fmtId val="46"/>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nb-NO"/>
              <a:t>Glåmdal</a:t>
            </a:r>
          </a:p>
        </c:rich>
      </c:tx>
      <c:overlay val="1"/>
      <c:spPr>
        <a:noFill/>
        <a:ln>
          <a:noFill/>
        </a:ln>
        <a:effectLst/>
      </c:spPr>
    </c:title>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w="25400">
            <a:noFill/>
          </a:ln>
          <a:effectLst/>
        </c:spPr>
        <c:marker>
          <c:symbol val="none"/>
        </c:marker>
      </c:pivotFmt>
      <c:pivotFmt>
        <c:idx val="6"/>
        <c:spPr>
          <a:solidFill>
            <a:schemeClr val="accent1"/>
          </a:solidFill>
          <a:ln w="25400">
            <a:noFill/>
          </a:ln>
          <a:effectLst/>
        </c:spPr>
        <c:marker>
          <c:symbol val="none"/>
        </c:marker>
      </c:pivotFmt>
      <c:pivotFmt>
        <c:idx val="7"/>
        <c:spPr>
          <a:solidFill>
            <a:schemeClr val="accent1"/>
          </a:solidFill>
          <a:ln w="25400">
            <a:noFill/>
          </a:ln>
          <a:effectLst/>
        </c:spPr>
        <c:marker>
          <c:symbol val="none"/>
        </c:marker>
      </c:pivotFmt>
      <c:pivotFmt>
        <c:idx val="8"/>
        <c:spPr>
          <a:solidFill>
            <a:schemeClr val="accent1"/>
          </a:solidFill>
          <a:ln w="25400">
            <a:noFill/>
          </a:ln>
          <a:effectLst/>
        </c:spPr>
        <c:marker>
          <c:symbol val="none"/>
        </c:marker>
      </c:pivotFmt>
      <c:pivotFmt>
        <c:idx val="9"/>
        <c:spPr>
          <a:solidFill>
            <a:schemeClr val="accent1"/>
          </a:solidFill>
          <a:ln w="25400">
            <a:noFill/>
          </a:ln>
          <a:effectLst/>
        </c:spPr>
        <c:marker>
          <c:symbol val="none"/>
        </c:marker>
      </c:pivotFmt>
      <c:pivotFmt>
        <c:idx val="10"/>
        <c:spPr>
          <a:solidFill>
            <a:schemeClr val="accent1"/>
          </a:solidFill>
          <a:ln w="25400">
            <a:noFill/>
          </a:ln>
          <a:effectLst/>
        </c:spPr>
        <c:marker>
          <c:symbol val="none"/>
        </c:marker>
      </c:pivotFmt>
      <c:pivotFmt>
        <c:idx val="11"/>
        <c:spPr>
          <a:solidFill>
            <a:schemeClr val="accent1"/>
          </a:solidFill>
          <a:ln w="25400">
            <a:noFill/>
          </a:ln>
          <a:effectLst/>
        </c:spPr>
        <c:marker>
          <c:symbol val="none"/>
        </c:marker>
      </c:pivotFmt>
      <c:pivotFmt>
        <c:idx val="12"/>
        <c:spPr>
          <a:solidFill>
            <a:schemeClr val="accent1"/>
          </a:solidFill>
          <a:ln w="25400">
            <a:noFill/>
          </a:ln>
          <a:effectLst/>
        </c:spPr>
        <c:marker>
          <c:symbol val="none"/>
        </c:marker>
      </c:pivotFmt>
      <c:pivotFmt>
        <c:idx val="13"/>
        <c:spPr>
          <a:solidFill>
            <a:schemeClr val="accent1"/>
          </a:solidFill>
          <a:ln>
            <a:noFill/>
          </a:ln>
          <a:effectLst/>
        </c:spPr>
        <c:marker>
          <c:symbol val="none"/>
        </c:marker>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spPr>
          <a:solidFill>
            <a:schemeClr val="accent1"/>
          </a:solidFill>
          <a:ln w="25400">
            <a:noFill/>
          </a:ln>
          <a:effectLst/>
        </c:spPr>
        <c:marker>
          <c:symbol val="none"/>
        </c:marker>
      </c:pivotFmt>
      <c:pivotFmt>
        <c:idx val="99"/>
        <c:spPr>
          <a:solidFill>
            <a:schemeClr val="accent1"/>
          </a:solidFill>
          <a:ln w="25400">
            <a:noFill/>
          </a:ln>
          <a:effectLst/>
        </c:spPr>
        <c:marker>
          <c:symbol val="none"/>
        </c:marker>
      </c:pivotFmt>
      <c:pivotFmt>
        <c:idx val="100"/>
        <c:spPr>
          <a:solidFill>
            <a:schemeClr val="accent1"/>
          </a:solidFill>
          <a:ln w="25400">
            <a:noFill/>
          </a:ln>
          <a:effectLst/>
        </c:spPr>
        <c:marker>
          <c:symbol val="none"/>
        </c:marker>
      </c:pivotFmt>
      <c:pivotFmt>
        <c:idx val="101"/>
        <c:spPr>
          <a:solidFill>
            <a:schemeClr val="accent1"/>
          </a:solidFill>
          <a:ln w="25400">
            <a:noFill/>
          </a:ln>
          <a:effectLst/>
        </c:spPr>
        <c:marker>
          <c:symbol val="none"/>
        </c:marker>
      </c:pivotFmt>
      <c:pivotFmt>
        <c:idx val="102"/>
        <c:spPr>
          <a:solidFill>
            <a:schemeClr val="accent1"/>
          </a:solidFill>
          <a:ln w="25400">
            <a:noFill/>
          </a:ln>
          <a:effectLst/>
        </c:spPr>
        <c:marker>
          <c:symbol val="none"/>
        </c:marker>
      </c:pivotFmt>
      <c:pivotFmt>
        <c:idx val="103"/>
        <c:spPr>
          <a:solidFill>
            <a:schemeClr val="accent1"/>
          </a:solidFill>
          <a:ln w="25400">
            <a:noFill/>
          </a:ln>
          <a:effectLst/>
        </c:spPr>
        <c:marker>
          <c:symbol val="none"/>
        </c:marker>
      </c:pivotFmt>
      <c:pivotFmt>
        <c:idx val="104"/>
        <c:spPr>
          <a:solidFill>
            <a:schemeClr val="accent1"/>
          </a:solidFill>
          <a:ln w="25400">
            <a:noFill/>
          </a:ln>
          <a:effectLst/>
        </c:spPr>
        <c:marker>
          <c:symbol val="none"/>
        </c:marker>
      </c:pivotFmt>
      <c:pivotFmt>
        <c:idx val="105"/>
        <c:spPr>
          <a:solidFill>
            <a:schemeClr val="accent1"/>
          </a:solidFill>
          <a:ln w="25400">
            <a:noFill/>
          </a:ln>
          <a:effectLst/>
        </c:spPr>
        <c:marker>
          <c:symbol val="none"/>
        </c:marker>
      </c:pivotFmt>
      <c:pivotFmt>
        <c:idx val="106"/>
        <c:spPr>
          <a:solidFill>
            <a:schemeClr val="accent1"/>
          </a:solidFill>
          <a:ln w="25400">
            <a:noFill/>
          </a:ln>
          <a:effectLst/>
        </c:spPr>
        <c:marker>
          <c:symbol val="none"/>
        </c:marker>
      </c:pivotFmt>
      <c:pivotFmt>
        <c:idx val="107"/>
        <c:spPr>
          <a:solidFill>
            <a:schemeClr val="accent1"/>
          </a:solidFill>
          <a:ln>
            <a:noFill/>
          </a:ln>
          <a:effectLst/>
        </c:spPr>
        <c:marker>
          <c:symbol val="none"/>
        </c:marker>
      </c:pivotFmt>
      <c:pivotFmt>
        <c:idx val="108"/>
        <c:spPr>
          <a:solidFill>
            <a:schemeClr val="accent1"/>
          </a:solidFill>
          <a:ln>
            <a:noFill/>
          </a:ln>
          <a:effectLst/>
        </c:spPr>
        <c:marker>
          <c:symbol val="none"/>
        </c:marker>
      </c:pivotFmt>
      <c:pivotFmt>
        <c:idx val="109"/>
        <c:spPr>
          <a:solidFill>
            <a:schemeClr val="accent1"/>
          </a:solidFill>
          <a:ln>
            <a:noFill/>
          </a:ln>
          <a:effectLst/>
        </c:spPr>
        <c:marker>
          <c:symbol val="none"/>
        </c:marker>
      </c:pivotFmt>
      <c:pivotFmt>
        <c:idx val="110"/>
        <c:spPr>
          <a:solidFill>
            <a:schemeClr val="accent1"/>
          </a:solidFill>
          <a:ln>
            <a:noFill/>
          </a:ln>
          <a:effectLst/>
        </c:spPr>
        <c:marker>
          <c:symbol val="none"/>
        </c:marker>
      </c:pivotFmt>
      <c:pivotFmt>
        <c:idx val="111"/>
        <c:spPr>
          <a:solidFill>
            <a:schemeClr val="accent1"/>
          </a:solidFill>
          <a:ln>
            <a:noFill/>
          </a:ln>
          <a:effectLst/>
        </c:spPr>
        <c:marker>
          <c:symbol val="none"/>
        </c:marker>
      </c:pivotFmt>
      <c:pivotFmt>
        <c:idx val="11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3"/>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11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6"/>
        <c:spPr>
          <a:solidFill>
            <a:schemeClr val="accent1"/>
          </a:solidFill>
          <a:ln w="28575" cap="rnd">
            <a:solidFill>
              <a:srgbClr val="FFC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18"/>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19"/>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21"/>
        <c:spPr>
          <a:solidFill>
            <a:schemeClr val="accent1"/>
          </a:solidFill>
          <a:ln w="28575" cap="rnd">
            <a:solidFill>
              <a:schemeClr val="accent1"/>
            </a:solidFill>
            <a:round/>
          </a:ln>
          <a:effectLst/>
        </c:spPr>
        <c:marker>
          <c:symbol val="none"/>
        </c:marker>
      </c:pivotFmt>
      <c:pivotFmt>
        <c:idx val="122"/>
        <c:spPr>
          <a:solidFill>
            <a:schemeClr val="accent1"/>
          </a:solidFill>
          <a:ln w="28575" cap="rnd">
            <a:solidFill>
              <a:schemeClr val="accent1"/>
            </a:solidFill>
            <a:round/>
          </a:ln>
          <a:effectLst/>
        </c:spPr>
        <c:marker>
          <c:symbol val="none"/>
        </c:marker>
      </c:pivotFmt>
      <c:pivotFmt>
        <c:idx val="123"/>
        <c:spPr>
          <a:solidFill>
            <a:schemeClr val="accent1"/>
          </a:solidFill>
          <a:ln w="28575" cap="rnd">
            <a:solidFill>
              <a:schemeClr val="accent1"/>
            </a:solidFill>
            <a:round/>
          </a:ln>
          <a:effectLst/>
        </c:spPr>
        <c:marker>
          <c:symbol val="none"/>
        </c:marker>
      </c:pivotFmt>
      <c:pivotFmt>
        <c:idx val="124"/>
        <c:spPr>
          <a:solidFill>
            <a:schemeClr val="accent1"/>
          </a:solidFill>
          <a:ln w="28575" cap="rnd">
            <a:solidFill>
              <a:schemeClr val="accent1"/>
            </a:solidFill>
            <a:round/>
          </a:ln>
          <a:effectLst/>
        </c:spPr>
        <c:marker>
          <c:symbol val="none"/>
        </c:marker>
      </c:pivotFmt>
      <c:pivotFmt>
        <c:idx val="125"/>
        <c:spPr>
          <a:solidFill>
            <a:schemeClr val="accent1"/>
          </a:solidFill>
          <a:ln w="28575" cap="rnd">
            <a:solidFill>
              <a:schemeClr val="accent1"/>
            </a:solidFill>
            <a:round/>
          </a:ln>
          <a:effectLst/>
        </c:spPr>
        <c:marker>
          <c:symbol val="none"/>
        </c:marker>
      </c:pivotFmt>
      <c:pivotFmt>
        <c:idx val="126"/>
        <c:spPr>
          <a:solidFill>
            <a:schemeClr val="accent1"/>
          </a:solidFill>
          <a:ln w="28575" cap="rnd">
            <a:solidFill>
              <a:schemeClr val="accent1"/>
            </a:solidFill>
            <a:round/>
          </a:ln>
          <a:effectLst/>
        </c:spPr>
        <c:marker>
          <c:symbol val="none"/>
        </c:marker>
      </c:pivotFmt>
      <c:pivotFmt>
        <c:idx val="127"/>
        <c:spPr>
          <a:solidFill>
            <a:schemeClr val="accent1"/>
          </a:solidFill>
          <a:ln w="28575" cap="rnd">
            <a:solidFill>
              <a:schemeClr val="accent1"/>
            </a:solidFill>
            <a:round/>
          </a:ln>
          <a:effectLst/>
        </c:spPr>
        <c:marker>
          <c:symbol val="none"/>
        </c:marker>
      </c:pivotFmt>
      <c:pivotFmt>
        <c:idx val="128"/>
        <c:spPr>
          <a:solidFill>
            <a:schemeClr val="accent1"/>
          </a:solidFill>
          <a:ln w="28575" cap="rnd">
            <a:solidFill>
              <a:schemeClr val="accent1"/>
            </a:solidFill>
            <a:round/>
          </a:ln>
          <a:effectLst/>
        </c:spPr>
        <c:marker>
          <c:symbol val="none"/>
        </c:marker>
      </c:pivotFmt>
      <c:pivotFmt>
        <c:idx val="129"/>
        <c:spPr>
          <a:solidFill>
            <a:schemeClr val="accent1"/>
          </a:solidFill>
          <a:ln w="28575" cap="rnd">
            <a:solidFill>
              <a:schemeClr val="accent1"/>
            </a:solidFill>
            <a:round/>
          </a:ln>
          <a:effectLst/>
        </c:spPr>
        <c:marker>
          <c:symbol val="none"/>
        </c:marker>
      </c:pivotFmt>
      <c:pivotFmt>
        <c:idx val="130"/>
        <c:spPr>
          <a:solidFill>
            <a:schemeClr val="accent1"/>
          </a:solidFill>
          <a:ln w="28575" cap="rnd">
            <a:solidFill>
              <a:schemeClr val="accent1"/>
            </a:solidFill>
            <a:round/>
          </a:ln>
          <a:effectLst/>
        </c:spPr>
        <c:marker>
          <c:symbol val="none"/>
        </c:marker>
      </c:pivotFmt>
      <c:pivotFmt>
        <c:idx val="131"/>
        <c:spPr>
          <a:solidFill>
            <a:schemeClr val="accent1"/>
          </a:solidFill>
          <a:ln w="28575" cap="rnd">
            <a:solidFill>
              <a:schemeClr val="accent1"/>
            </a:solidFill>
            <a:round/>
          </a:ln>
          <a:effectLst/>
        </c:spPr>
        <c:marker>
          <c:symbol val="none"/>
        </c:marker>
      </c:pivotFmt>
      <c:pivotFmt>
        <c:idx val="132"/>
        <c:spPr>
          <a:solidFill>
            <a:schemeClr val="accent1"/>
          </a:solidFill>
          <a:ln w="28575" cap="rnd">
            <a:solidFill>
              <a:schemeClr val="accent1"/>
            </a:solidFill>
            <a:round/>
          </a:ln>
          <a:effectLst/>
        </c:spPr>
        <c:marker>
          <c:symbol val="none"/>
        </c:marker>
      </c:pivotFmt>
      <c:pivotFmt>
        <c:idx val="133"/>
        <c:spPr>
          <a:solidFill>
            <a:schemeClr val="accent1"/>
          </a:solidFill>
          <a:ln w="28575" cap="rnd">
            <a:solidFill>
              <a:schemeClr val="accent1"/>
            </a:solidFill>
            <a:round/>
          </a:ln>
          <a:effectLst/>
        </c:spPr>
        <c:marker>
          <c:symbol val="none"/>
        </c:marker>
      </c:pivotFmt>
      <c:pivotFmt>
        <c:idx val="13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36"/>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7"/>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138"/>
        <c:spPr>
          <a:solidFill>
            <a:schemeClr val="accent1"/>
          </a:solidFill>
          <a:ln w="28575" cap="rnd">
            <a:solidFill>
              <a:srgbClr val="FFC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0"/>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4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2"/>
        <c:spPr>
          <a:solidFill>
            <a:schemeClr val="accent1"/>
          </a:solidFill>
          <a:ln w="28575" cap="rnd">
            <a:solidFill>
              <a:schemeClr val="accent1"/>
            </a:solidFill>
            <a:round/>
          </a:ln>
          <a:effectLst/>
        </c:spPr>
        <c:marker>
          <c:symbol val="none"/>
        </c:marker>
      </c:pivotFmt>
      <c:pivotFmt>
        <c:idx val="143"/>
        <c:spPr>
          <a:solidFill>
            <a:schemeClr val="accent1"/>
          </a:solidFill>
          <a:ln w="28575" cap="rnd">
            <a:solidFill>
              <a:schemeClr val="accent1"/>
            </a:solidFill>
            <a:round/>
          </a:ln>
          <a:effectLst/>
        </c:spPr>
        <c:marker>
          <c:symbol val="none"/>
        </c:marker>
      </c:pivotFmt>
      <c:pivotFmt>
        <c:idx val="144"/>
        <c:spPr>
          <a:solidFill>
            <a:schemeClr val="accent1"/>
          </a:solidFill>
          <a:ln w="28575" cap="rnd">
            <a:solidFill>
              <a:schemeClr val="accent1"/>
            </a:solidFill>
            <a:round/>
          </a:ln>
          <a:effectLst/>
        </c:spPr>
        <c:marker>
          <c:symbol val="none"/>
        </c:marker>
      </c:pivotFmt>
      <c:pivotFmt>
        <c:idx val="145"/>
        <c:spPr>
          <a:solidFill>
            <a:schemeClr val="accent1"/>
          </a:solidFill>
          <a:ln w="28575" cap="rnd">
            <a:solidFill>
              <a:schemeClr val="accent1"/>
            </a:solidFill>
            <a:round/>
          </a:ln>
          <a:effectLst/>
        </c:spPr>
        <c:marker>
          <c:symbol val="none"/>
        </c:marker>
      </c:pivotFmt>
      <c:pivotFmt>
        <c:idx val="146"/>
        <c:spPr>
          <a:solidFill>
            <a:schemeClr val="accent1"/>
          </a:solidFill>
          <a:ln w="28575" cap="rnd">
            <a:solidFill>
              <a:schemeClr val="accent1"/>
            </a:solidFill>
            <a:round/>
          </a:ln>
          <a:effectLst/>
        </c:spPr>
        <c:marker>
          <c:symbol val="none"/>
        </c:marker>
      </c:pivotFmt>
      <c:pivotFmt>
        <c:idx val="147"/>
        <c:spPr>
          <a:solidFill>
            <a:schemeClr val="accent1"/>
          </a:solidFill>
          <a:ln w="28575" cap="rnd">
            <a:solidFill>
              <a:schemeClr val="accent1"/>
            </a:solidFill>
            <a:round/>
          </a:ln>
          <a:effectLst/>
        </c:spPr>
        <c:marker>
          <c:symbol val="none"/>
        </c:marker>
      </c:pivotFmt>
      <c:pivotFmt>
        <c:idx val="148"/>
        <c:spPr>
          <a:solidFill>
            <a:schemeClr val="accent1"/>
          </a:solidFill>
          <a:ln w="28575" cap="rnd">
            <a:solidFill>
              <a:schemeClr val="accent1"/>
            </a:solidFill>
            <a:round/>
          </a:ln>
          <a:effectLst/>
        </c:spPr>
        <c:marker>
          <c:symbol val="none"/>
        </c:marker>
      </c:pivotFmt>
      <c:pivotFmt>
        <c:idx val="149"/>
        <c:spPr>
          <a:solidFill>
            <a:schemeClr val="accent1"/>
          </a:solidFill>
          <a:ln w="28575" cap="rnd">
            <a:solidFill>
              <a:schemeClr val="accent1"/>
            </a:solidFill>
            <a:round/>
          </a:ln>
          <a:effectLst/>
        </c:spPr>
        <c:marker>
          <c:symbol val="none"/>
        </c:marker>
      </c:pivotFmt>
      <c:pivotFmt>
        <c:idx val="150"/>
        <c:spPr>
          <a:solidFill>
            <a:schemeClr val="accent1"/>
          </a:solidFill>
          <a:ln w="28575" cap="rnd">
            <a:solidFill>
              <a:schemeClr val="accent1"/>
            </a:solidFill>
            <a:round/>
          </a:ln>
          <a:effectLst/>
        </c:spPr>
        <c:marker>
          <c:symbol val="none"/>
        </c:marker>
      </c:pivotFmt>
      <c:pivotFmt>
        <c:idx val="151"/>
        <c:spPr>
          <a:solidFill>
            <a:schemeClr val="accent1"/>
          </a:solidFill>
          <a:ln w="28575" cap="rnd">
            <a:solidFill>
              <a:schemeClr val="accent1"/>
            </a:solidFill>
            <a:round/>
          </a:ln>
          <a:effectLst/>
        </c:spPr>
        <c:marker>
          <c:symbol val="none"/>
        </c:marker>
      </c:pivotFmt>
      <c:pivotFmt>
        <c:idx val="152"/>
        <c:spPr>
          <a:solidFill>
            <a:schemeClr val="accent1"/>
          </a:solidFill>
          <a:ln w="28575" cap="rnd">
            <a:solidFill>
              <a:schemeClr val="accent1"/>
            </a:solidFill>
            <a:round/>
          </a:ln>
          <a:effectLst/>
        </c:spPr>
        <c:marker>
          <c:symbol val="none"/>
        </c:marker>
      </c:pivotFmt>
      <c:pivotFmt>
        <c:idx val="153"/>
        <c:spPr>
          <a:solidFill>
            <a:schemeClr val="accent1"/>
          </a:solidFill>
          <a:ln w="28575" cap="rnd">
            <a:solidFill>
              <a:schemeClr val="accent1"/>
            </a:solidFill>
            <a:round/>
          </a:ln>
          <a:effectLst/>
        </c:spPr>
        <c:marker>
          <c:symbol val="none"/>
        </c:marker>
      </c:pivotFmt>
      <c:pivotFmt>
        <c:idx val="154"/>
        <c:spPr>
          <a:solidFill>
            <a:schemeClr val="accent1"/>
          </a:solidFill>
          <a:ln w="28575" cap="rnd">
            <a:solidFill>
              <a:schemeClr val="accent1"/>
            </a:solidFill>
            <a:round/>
          </a:ln>
          <a:effectLst/>
        </c:spPr>
        <c:marker>
          <c:symbol val="none"/>
        </c:marker>
      </c:pivotFmt>
      <c:pivotFmt>
        <c:idx val="15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5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57"/>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58"/>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159"/>
        <c:spPr>
          <a:solidFill>
            <a:schemeClr val="accent1"/>
          </a:solidFill>
          <a:ln w="28575" cap="rnd">
            <a:solidFill>
              <a:srgbClr val="FFC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61"/>
        <c:spPr>
          <a:solidFill>
            <a:schemeClr val="accent1"/>
          </a:solidFill>
          <a:ln w="28575" cap="rnd">
            <a:solidFill>
              <a:schemeClr val="accent4"/>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s>
    <c:plotArea>
      <c:layout>
        <c:manualLayout>
          <c:layoutTarget val="inner"/>
          <c:xMode val="edge"/>
          <c:yMode val="edge"/>
          <c:x val="9.1350876222439481E-2"/>
          <c:y val="0.16256527294406234"/>
          <c:w val="0.80872718779005071"/>
          <c:h val="0.71484452589432823"/>
        </c:manualLayout>
      </c:layout>
      <c:lineChart>
        <c:grouping val="standard"/>
        <c:ser>
          <c:idx val="0"/>
          <c:order val="0"/>
          <c:tx>
            <c:strRef>
              <c:f>'Areal besøk'!$K$1:$K$2</c:f>
              <c:strCache>
                <c:ptCount val="1"/>
                <c:pt idx="0">
                  <c:v>Aktivitet</c:v>
                </c:pt>
              </c:strCache>
            </c:strRef>
          </c:tx>
          <c:spPr>
            <a:ln w="28575" cap="rnd">
              <a:solidFill>
                <a:schemeClr val="accent1"/>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'Areal besøk'!$J$3:$J$16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'Areal besøk'!$K$3:$K$16</c:f>
              <c:numCache>
                <c:formatCode>#,##0.0</c:formatCode>
                <c:ptCount val="14"/>
                <c:pt idx="0">
                  <c:v>100</c:v>
                </c:pt>
                <c:pt idx="1">
                  <c:v>97.87878787878779</c:v>
                </c:pt>
                <c:pt idx="2">
                  <c:v>107.57575757575754</c:v>
                </c:pt>
                <c:pt idx="3">
                  <c:v>113.03030303030303</c:v>
                </c:pt>
                <c:pt idx="4">
                  <c:v>116.06060606060606</c:v>
                </c:pt>
                <c:pt idx="5">
                  <c:v>117.57575757575754</c:v>
                </c:pt>
                <c:pt idx="6">
                  <c:v>123.03030303030303</c:v>
                </c:pt>
                <c:pt idx="7">
                  <c:v>119.09090909090909</c:v>
                </c:pt>
                <c:pt idx="8">
                  <c:v>125.75757575757575</c:v>
                </c:pt>
                <c:pt idx="9">
                  <c:v>123.93939393939397</c:v>
                </c:pt>
                <c:pt idx="10">
                  <c:v>128.4848484848485</c:v>
                </c:pt>
                <c:pt idx="11">
                  <c:v>129.09090909090909</c:v>
                </c:pt>
                <c:pt idx="12">
                  <c:v>123.93939393939397</c:v>
                </c:pt>
                <c:pt idx="13">
                  <c:v>114.84848484848479</c:v>
                </c:pt>
              </c:numCache>
            </c:numRef>
          </c:val>
        </c:ser>
        <c:ser>
          <c:idx val="1"/>
          <c:order val="1"/>
          <c:tx>
            <c:strRef>
              <c:f>'Areal besøk'!$L$1:$L$2</c:f>
              <c:strCache>
                <c:ptCount val="1"/>
                <c:pt idx="0">
                  <c:v>Handel</c:v>
                </c:pt>
              </c:strCache>
            </c:strRef>
          </c:tx>
          <c:spPr>
            <a:ln w="28575" cap="rnd">
              <a:solidFill>
                <a:schemeClr val="accent2"/>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'Areal besøk'!$J$3:$J$16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'Areal besøk'!$L$3:$L$16</c:f>
              <c:numCache>
                <c:formatCode>#,##0.0</c:formatCode>
                <c:ptCount val="14"/>
                <c:pt idx="0">
                  <c:v>100</c:v>
                </c:pt>
                <c:pt idx="1">
                  <c:v>103.72413793103448</c:v>
                </c:pt>
                <c:pt idx="2">
                  <c:v>105.3333333333333</c:v>
                </c:pt>
                <c:pt idx="3">
                  <c:v>108.41379310344827</c:v>
                </c:pt>
                <c:pt idx="4">
                  <c:v>107.72413793103448</c:v>
                </c:pt>
                <c:pt idx="5">
                  <c:v>108.50574712643672</c:v>
                </c:pt>
                <c:pt idx="6">
                  <c:v>106.89655172413796</c:v>
                </c:pt>
                <c:pt idx="7">
                  <c:v>106.62068965517244</c:v>
                </c:pt>
                <c:pt idx="8">
                  <c:v>106.71264367816094</c:v>
                </c:pt>
                <c:pt idx="9">
                  <c:v>104.8735632183908</c:v>
                </c:pt>
                <c:pt idx="10">
                  <c:v>103.49425287356321</c:v>
                </c:pt>
                <c:pt idx="11">
                  <c:v>104.18390804597702</c:v>
                </c:pt>
                <c:pt idx="12">
                  <c:v>99.908045977011483</c:v>
                </c:pt>
                <c:pt idx="13">
                  <c:v>98.896551724137936</c:v>
                </c:pt>
              </c:numCache>
            </c:numRef>
          </c:val>
        </c:ser>
        <c:ser>
          <c:idx val="2"/>
          <c:order val="2"/>
          <c:tx>
            <c:strRef>
              <c:f>'Areal besøk'!$M$1:$M$2</c:f>
              <c:strCache>
                <c:ptCount val="1"/>
                <c:pt idx="0">
                  <c:v>Overnatting</c:v>
                </c:pt>
              </c:strCache>
            </c:strRef>
          </c:tx>
          <c:spPr>
            <a:ln w="28575" cap="rnd">
              <a:solidFill>
                <a:srgbClr val="FFC000"/>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'Areal besøk'!$J$3:$J$16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'Areal besøk'!$M$3:$M$16</c:f>
              <c:numCache>
                <c:formatCode>#,##0.0</c:formatCode>
                <c:ptCount val="14"/>
                <c:pt idx="0">
                  <c:v>100</c:v>
                </c:pt>
                <c:pt idx="1">
                  <c:v>105.55555555555553</c:v>
                </c:pt>
                <c:pt idx="2">
                  <c:v>112.96296296296296</c:v>
                </c:pt>
                <c:pt idx="3">
                  <c:v>119.44444444444447</c:v>
                </c:pt>
                <c:pt idx="4">
                  <c:v>121.29629629629629</c:v>
                </c:pt>
                <c:pt idx="5">
                  <c:v>118.51851851851849</c:v>
                </c:pt>
                <c:pt idx="6">
                  <c:v>126.85185185185181</c:v>
                </c:pt>
                <c:pt idx="7">
                  <c:v>135.18518518518519</c:v>
                </c:pt>
                <c:pt idx="8">
                  <c:v>156.48148148148161</c:v>
                </c:pt>
                <c:pt idx="9">
                  <c:v>140.74074074074068</c:v>
                </c:pt>
                <c:pt idx="10">
                  <c:v>144.44444444444446</c:v>
                </c:pt>
                <c:pt idx="11">
                  <c:v>135.18518518518519</c:v>
                </c:pt>
                <c:pt idx="12">
                  <c:v>138.88888888888894</c:v>
                </c:pt>
                <c:pt idx="13">
                  <c:v>134.25925925925921</c:v>
                </c:pt>
              </c:numCache>
            </c:numRef>
          </c:val>
        </c:ser>
        <c:ser>
          <c:idx val="3"/>
          <c:order val="3"/>
          <c:tx>
            <c:strRef>
              <c:f>'Areal besøk'!$N$1:$N$2</c:f>
              <c:strCache>
                <c:ptCount val="1"/>
                <c:pt idx="0">
                  <c:v>Servering</c:v>
                </c:pt>
              </c:strCache>
            </c:strRef>
          </c:tx>
          <c:spPr>
            <a:ln w="28575" cap="rnd">
              <a:solidFill>
                <a:schemeClr val="accent4"/>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'Areal besøk'!$J$3:$J$16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'Areal besøk'!$N$3:$N$16</c:f>
              <c:numCache>
                <c:formatCode>#,##0.0</c:formatCode>
                <c:ptCount val="14"/>
                <c:pt idx="0">
                  <c:v>100</c:v>
                </c:pt>
                <c:pt idx="1">
                  <c:v>99.086757990867582</c:v>
                </c:pt>
                <c:pt idx="2">
                  <c:v>108.67579908675793</c:v>
                </c:pt>
                <c:pt idx="3">
                  <c:v>94.520547945205493</c:v>
                </c:pt>
                <c:pt idx="4">
                  <c:v>100.91324200913245</c:v>
                </c:pt>
                <c:pt idx="5">
                  <c:v>89.497716894977216</c:v>
                </c:pt>
                <c:pt idx="6">
                  <c:v>93.607305936073033</c:v>
                </c:pt>
                <c:pt idx="7">
                  <c:v>94.520547945205493</c:v>
                </c:pt>
                <c:pt idx="8">
                  <c:v>85.388127853881215</c:v>
                </c:pt>
                <c:pt idx="9">
                  <c:v>99.086757990867582</c:v>
                </c:pt>
                <c:pt idx="10">
                  <c:v>88.584474885844756</c:v>
                </c:pt>
                <c:pt idx="11">
                  <c:v>80.821917808219183</c:v>
                </c:pt>
                <c:pt idx="12">
                  <c:v>88.127853881278568</c:v>
                </c:pt>
                <c:pt idx="13">
                  <c:v>74.429223744292301</c:v>
                </c:pt>
              </c:numCache>
            </c:numRef>
          </c:val>
        </c:ser>
        <c:marker val="1"/>
        <c:axId val="243496448"/>
        <c:axId val="243497984"/>
      </c:lineChart>
      <c:catAx>
        <c:axId val="243496448"/>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3497984"/>
        <c:crosses val="autoZero"/>
        <c:auto val="1"/>
        <c:lblAlgn val="ctr"/>
        <c:lblOffset val="100"/>
      </c:catAx>
      <c:valAx>
        <c:axId val="243497984"/>
        <c:scaling>
          <c:orientation val="minMax"/>
          <c:min val="70"/>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3496448"/>
        <c:crosses val="autoZero"/>
        <c:crossBetween val="between"/>
      </c:valAx>
      <c:spPr>
        <a:noFill/>
        <a:ln>
          <a:noFill/>
        </a:ln>
        <a:effectLst/>
      </c:spPr>
    </c:plotArea>
    <c:legend>
      <c:legendPos val="t"/>
      <c:layout>
        <c:manualLayout>
          <c:xMode val="edge"/>
          <c:yMode val="edge"/>
          <c:x val="9.9899876732660819E-2"/>
          <c:y val="9.7578604987350923E-2"/>
          <c:w val="0.57625116349274219"/>
          <c:h val="0.1914191156174145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zero"/>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7.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pivotSource>
    <c:name>[Copy of Norge 2014 Marit drodling.xlsx]Bransjer indeks vekst!Besøk</c:name>
    <c:fmtId val="-1"/>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nb-NO"/>
              <a:t>Norge</a:t>
            </a:r>
          </a:p>
        </c:rich>
      </c:tx>
      <c:overlay val="1"/>
      <c:spPr>
        <a:noFill/>
        <a:ln>
          <a:noFill/>
        </a:ln>
        <a:effectLst/>
      </c:spPr>
    </c:title>
    <c:pivotFmts>
      <c:pivotFmt>
        <c:idx val="0"/>
        <c:spPr>
          <a:solidFill>
            <a:schemeClr val="accent1"/>
          </a:solidFill>
          <a:ln w="28575" cap="rnd">
            <a:solidFill>
              <a:schemeClr val="accent4"/>
            </a:solidFill>
            <a:round/>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w="28575" cap="rnd">
            <a:solidFill>
              <a:schemeClr val="accent4"/>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
        <c:spPr>
          <a:solidFill>
            <a:schemeClr val="accent1"/>
          </a:solidFill>
          <a:ln w="28575" cap="rnd">
            <a:solidFill>
              <a:schemeClr val="accent6"/>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7"/>
        <c:spPr>
          <a:solidFill>
            <a:schemeClr val="accent1"/>
          </a:solidFill>
          <a:ln w="28575" cap="rnd">
            <a:solidFill>
              <a:srgbClr val="FFC000"/>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8"/>
        <c:spPr>
          <a:solidFill>
            <a:schemeClr val="accent1"/>
          </a:solidFill>
          <a:ln w="28575" cap="rnd">
            <a:solidFill>
              <a:schemeClr val="accent4"/>
            </a:solidFill>
            <a:round/>
          </a:ln>
          <a:effectLst/>
        </c:spPr>
        <c:marker>
          <c:symbol val="none"/>
        </c:marker>
        <c:dLbl>
          <c:idx val="0"/>
          <c:delete val="1"/>
          <c:extLst>
            <c:ext xmlns:c15="http://schemas.microsoft.com/office/drawing/2012/chart" uri="{CE6537A1-D6FC-4f65-9D91-7224C49458BB}"/>
          </c:extLst>
        </c:dLbl>
      </c:pivotFmt>
      <c:pivotFmt>
        <c:idx val="9"/>
        <c:spPr>
          <a:solidFill>
            <a:schemeClr val="accent1"/>
          </a:solidFill>
          <a:ln w="28575" cap="rnd">
            <a:solidFill>
              <a:schemeClr val="accent4"/>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w="28575" cap="rnd">
            <a:solidFill>
              <a:schemeClr val="accent2"/>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13"/>
        <c:spPr>
          <a:solidFill>
            <a:schemeClr val="accent1"/>
          </a:solidFill>
          <a:ln w="28575" cap="rnd">
            <a:solidFill>
              <a:srgbClr val="FFC000"/>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4"/>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15"/>
        <c:spPr>
          <a:solidFill>
            <a:schemeClr val="accent1"/>
          </a:solidFill>
          <a:ln w="28575" cap="rnd">
            <a:solidFill>
              <a:schemeClr val="accent6"/>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
        <c:spPr>
          <a:solidFill>
            <a:schemeClr val="accent1"/>
          </a:solidFill>
          <a:ln w="28575" cap="rnd">
            <a:solidFill>
              <a:schemeClr val="accent4"/>
            </a:solidFill>
            <a:round/>
          </a:ln>
          <a:effectLst/>
        </c:spPr>
        <c:marker>
          <c:symbol val="none"/>
        </c:marker>
        <c:dLbl>
          <c:idx val="0"/>
          <c:delete val="1"/>
          <c:extLst>
            <c:ext xmlns:c15="http://schemas.microsoft.com/office/drawing/2012/chart" uri="{CE6537A1-D6FC-4f65-9D91-7224C49458BB}"/>
          </c:extLst>
        </c:dLbl>
      </c:pivotFmt>
      <c:pivotFmt>
        <c:idx val="17"/>
        <c:spPr>
          <a:solidFill>
            <a:schemeClr val="accent1"/>
          </a:solidFill>
          <a:ln w="28575" cap="rnd">
            <a:solidFill>
              <a:schemeClr val="accent4"/>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w="28575" cap="rnd">
            <a:solidFill>
              <a:schemeClr val="accent2"/>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0"/>
        <c:spPr>
          <a:solidFill>
            <a:schemeClr val="accent1"/>
          </a:solidFill>
          <a:ln w="28575" cap="rnd">
            <a:solidFill>
              <a:srgbClr val="FFC000"/>
            </a:solidFill>
            <a:round/>
          </a:ln>
          <a:effectLst/>
        </c:spPr>
        <c:marker>
          <c:symbol val="none"/>
        </c:marker>
        <c:dLbl>
          <c:idx val="0"/>
          <c:delete val="1"/>
          <c:extLst>
            <c:ext xmlns:c15="http://schemas.microsoft.com/office/drawing/2012/chart" uri="{CE6537A1-D6FC-4f65-9D91-7224C49458BB}"/>
          </c:extLst>
        </c:dLbl>
      </c:pivotFmt>
      <c:pivotFmt>
        <c:idx val="21"/>
        <c:spPr>
          <a:solidFill>
            <a:schemeClr val="accent1"/>
          </a:solidFill>
          <a:ln w="28575" cap="rnd">
            <a:solidFill>
              <a:srgbClr val="FFC000"/>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2"/>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23"/>
        <c:spPr>
          <a:solidFill>
            <a:schemeClr val="accent1"/>
          </a:solidFill>
          <a:ln w="28575" cap="rnd">
            <a:solidFill>
              <a:schemeClr val="accent6"/>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s>
    <c:plotArea>
      <c:layout>
        <c:manualLayout>
          <c:layoutTarget val="inner"/>
          <c:xMode val="edge"/>
          <c:yMode val="edge"/>
          <c:x val="9.354154471698238E-2"/>
          <c:y val="0.12752597015325637"/>
          <c:w val="0.78054896822340669"/>
          <c:h val="0.74881626933685763"/>
        </c:manualLayout>
      </c:layout>
      <c:lineChart>
        <c:grouping val="standard"/>
        <c:ser>
          <c:idx val="0"/>
          <c:order val="0"/>
          <c:tx>
            <c:strRef>
              <c:f>'Bransjer indeks vekst'!$K$1:$K$2</c:f>
              <c:strCache>
                <c:ptCount val="1"/>
                <c:pt idx="0">
                  <c:v>Aktivitet</c:v>
                </c:pt>
              </c:strCache>
            </c:strRef>
          </c:tx>
          <c:spPr>
            <a:ln w="28575" cap="rnd">
              <a:solidFill>
                <a:schemeClr val="accent4"/>
              </a:solidFill>
              <a:round/>
            </a:ln>
            <a:effectLst/>
          </c:spPr>
          <c:marker>
            <c:symbol val="none"/>
          </c:marker>
          <c:dLbls>
            <c:dLbl>
              <c:idx val="13"/>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'Bransjer indeks vekst'!$J$3:$J$16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'Bransjer indeks vekst'!$K$3:$K$16</c:f>
              <c:numCache>
                <c:formatCode>General</c:formatCode>
                <c:ptCount val="14"/>
                <c:pt idx="0">
                  <c:v>100</c:v>
                </c:pt>
                <c:pt idx="1">
                  <c:v>102.12983821421254</c:v>
                </c:pt>
                <c:pt idx="2">
                  <c:v>105.04926388604459</c:v>
                </c:pt>
                <c:pt idx="3">
                  <c:v>104.00937492889159</c:v>
                </c:pt>
                <c:pt idx="4">
                  <c:v>108.62402439301886</c:v>
                </c:pt>
                <c:pt idx="5">
                  <c:v>112.71986711265839</c:v>
                </c:pt>
                <c:pt idx="6">
                  <c:v>117.94889298473161</c:v>
                </c:pt>
                <c:pt idx="7">
                  <c:v>126.65028329578811</c:v>
                </c:pt>
                <c:pt idx="8">
                  <c:v>125.52165107970966</c:v>
                </c:pt>
                <c:pt idx="9">
                  <c:v>127.88586251621268</c:v>
                </c:pt>
                <c:pt idx="10">
                  <c:v>130.94864268323207</c:v>
                </c:pt>
                <c:pt idx="11">
                  <c:v>133.14219400641682</c:v>
                </c:pt>
                <c:pt idx="12">
                  <c:v>131.80649418617878</c:v>
                </c:pt>
                <c:pt idx="13">
                  <c:v>127.72202880742707</c:v>
                </c:pt>
              </c:numCache>
            </c:numRef>
          </c:val>
        </c:ser>
        <c:ser>
          <c:idx val="1"/>
          <c:order val="1"/>
          <c:tx>
            <c:strRef>
              <c:f>'Bransjer indeks vekst'!$L$1:$L$2</c:f>
              <c:strCache>
                <c:ptCount val="1"/>
                <c:pt idx="0">
                  <c:v>Handel</c:v>
                </c:pt>
              </c:strCache>
            </c:strRef>
          </c:tx>
          <c:spPr>
            <a:ln w="28575" cap="rnd">
              <a:solidFill>
                <a:schemeClr val="accent2"/>
              </a:solidFill>
              <a:round/>
            </a:ln>
            <a:effectLst/>
          </c:spPr>
          <c:marker>
            <c:symbol val="none"/>
          </c:marker>
          <c:dLbls>
            <c:dLbl>
              <c:idx val="13"/>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'Bransjer indeks vekst'!$J$3:$J$16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'Bransjer indeks vekst'!$L$3:$L$16</c:f>
              <c:numCache>
                <c:formatCode>General</c:formatCode>
                <c:ptCount val="14"/>
                <c:pt idx="0">
                  <c:v>100</c:v>
                </c:pt>
                <c:pt idx="1">
                  <c:v>100.57335720795184</c:v>
                </c:pt>
                <c:pt idx="2">
                  <c:v>102.44180561725203</c:v>
                </c:pt>
                <c:pt idx="3">
                  <c:v>103.16857709410473</c:v>
                </c:pt>
                <c:pt idx="4">
                  <c:v>105.64564509555187</c:v>
                </c:pt>
                <c:pt idx="5">
                  <c:v>107.99494419842188</c:v>
                </c:pt>
                <c:pt idx="6">
                  <c:v>110.7193068422764</c:v>
                </c:pt>
                <c:pt idx="7">
                  <c:v>116.16207874044591</c:v>
                </c:pt>
                <c:pt idx="8">
                  <c:v>116.36174626653784</c:v>
                </c:pt>
                <c:pt idx="9">
                  <c:v>113.27056323644574</c:v>
                </c:pt>
                <c:pt idx="10">
                  <c:v>113.79491946895772</c:v>
                </c:pt>
                <c:pt idx="11">
                  <c:v>114.01519488191684</c:v>
                </c:pt>
                <c:pt idx="12">
                  <c:v>113.02647426532883</c:v>
                </c:pt>
                <c:pt idx="13">
                  <c:v>112.85748959301716</c:v>
                </c:pt>
              </c:numCache>
            </c:numRef>
          </c:val>
        </c:ser>
        <c:ser>
          <c:idx val="2"/>
          <c:order val="2"/>
          <c:tx>
            <c:strRef>
              <c:f>'Bransjer indeks vekst'!$M$1:$M$2</c:f>
              <c:strCache>
                <c:ptCount val="1"/>
                <c:pt idx="0">
                  <c:v>Overnatting</c:v>
                </c:pt>
              </c:strCache>
            </c:strRef>
          </c:tx>
          <c:spPr>
            <a:ln w="28575" cap="rnd">
              <a:solidFill>
                <a:srgbClr val="FFC000"/>
              </a:solidFill>
              <a:round/>
            </a:ln>
            <a:effectLst/>
          </c:spPr>
          <c:marker>
            <c:symbol val="none"/>
          </c:marker>
          <c:dLbls>
            <c:dLbl>
              <c:idx val="13"/>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'Bransjer indeks vekst'!$J$3:$J$16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'Bransjer indeks vekst'!$M$3:$M$16</c:f>
              <c:numCache>
                <c:formatCode>General</c:formatCode>
                <c:ptCount val="14"/>
                <c:pt idx="0">
                  <c:v>100</c:v>
                </c:pt>
                <c:pt idx="1">
                  <c:v>98.403076070389332</c:v>
                </c:pt>
                <c:pt idx="2">
                  <c:v>97.821116807537749</c:v>
                </c:pt>
                <c:pt idx="3">
                  <c:v>93.172370791187419</c:v>
                </c:pt>
                <c:pt idx="4">
                  <c:v>93.754330054039059</c:v>
                </c:pt>
                <c:pt idx="5">
                  <c:v>91.558126645420529</c:v>
                </c:pt>
                <c:pt idx="6">
                  <c:v>92.479562144935571</c:v>
                </c:pt>
                <c:pt idx="7">
                  <c:v>98.240266038520161</c:v>
                </c:pt>
                <c:pt idx="8">
                  <c:v>95.105306914230255</c:v>
                </c:pt>
                <c:pt idx="9">
                  <c:v>89.320354718026834</c:v>
                </c:pt>
                <c:pt idx="10">
                  <c:v>89.299570458639309</c:v>
                </c:pt>
                <c:pt idx="11">
                  <c:v>95.011777746986255</c:v>
                </c:pt>
                <c:pt idx="12">
                  <c:v>94.914784536510993</c:v>
                </c:pt>
                <c:pt idx="13">
                  <c:v>95.953997505888879</c:v>
                </c:pt>
              </c:numCache>
            </c:numRef>
          </c:val>
        </c:ser>
        <c:ser>
          <c:idx val="3"/>
          <c:order val="3"/>
          <c:tx>
            <c:strRef>
              <c:f>'Bransjer indeks vekst'!$N$1:$N$2</c:f>
              <c:strCache>
                <c:ptCount val="1"/>
                <c:pt idx="0">
                  <c:v>Servering</c:v>
                </c:pt>
              </c:strCache>
            </c:strRef>
          </c:tx>
          <c:spPr>
            <a:ln w="28575" cap="rnd">
              <a:solidFill>
                <a:schemeClr val="accent6"/>
              </a:solidFill>
              <a:round/>
            </a:ln>
            <a:effectLst/>
          </c:spPr>
          <c:marker>
            <c:symbol val="none"/>
          </c:marker>
          <c:dLbls>
            <c:dLbl>
              <c:idx val="13"/>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'Bransjer indeks vekst'!$J$3:$J$16</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'Bransjer indeks vekst'!$N$3:$N$16</c:f>
              <c:numCache>
                <c:formatCode>General</c:formatCode>
                <c:ptCount val="14"/>
                <c:pt idx="0">
                  <c:v>100</c:v>
                </c:pt>
                <c:pt idx="1">
                  <c:v>100.39885171353804</c:v>
                </c:pt>
                <c:pt idx="2">
                  <c:v>101.79102202576026</c:v>
                </c:pt>
                <c:pt idx="3">
                  <c:v>100.34296166450731</c:v>
                </c:pt>
                <c:pt idx="4">
                  <c:v>101.25498564641923</c:v>
                </c:pt>
                <c:pt idx="5">
                  <c:v>103.90976297538299</c:v>
                </c:pt>
                <c:pt idx="6">
                  <c:v>104.68460229149201</c:v>
                </c:pt>
                <c:pt idx="7">
                  <c:v>111.38124634809338</c:v>
                </c:pt>
                <c:pt idx="8">
                  <c:v>109.38698778040289</c:v>
                </c:pt>
                <c:pt idx="9">
                  <c:v>106.19363361532403</c:v>
                </c:pt>
                <c:pt idx="10">
                  <c:v>108.90938190686683</c:v>
                </c:pt>
                <c:pt idx="11">
                  <c:v>112.53969463709576</c:v>
                </c:pt>
                <c:pt idx="12">
                  <c:v>112.89535858547364</c:v>
                </c:pt>
                <c:pt idx="13">
                  <c:v>116.44183624215634</c:v>
                </c:pt>
              </c:numCache>
            </c:numRef>
          </c:val>
        </c:ser>
        <c:marker val="1"/>
        <c:axId val="249267328"/>
        <c:axId val="249268864"/>
      </c:lineChart>
      <c:catAx>
        <c:axId val="2492673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9268864"/>
        <c:crosses val="autoZero"/>
        <c:auto val="1"/>
        <c:lblAlgn val="ctr"/>
        <c:lblOffset val="100"/>
      </c:catAx>
      <c:valAx>
        <c:axId val="249268864"/>
        <c:scaling>
          <c:orientation val="minMax"/>
          <c:min val="8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9267328"/>
        <c:crosses val="autoZero"/>
        <c:crossBetween val="between"/>
      </c:valAx>
      <c:spPr>
        <a:noFill/>
        <a:ln>
          <a:noFill/>
        </a:ln>
        <a:effectLst/>
      </c:spPr>
    </c:plotArea>
    <c:legend>
      <c:legendPos val="t"/>
      <c:layout>
        <c:manualLayout>
          <c:xMode val="edge"/>
          <c:yMode val="edge"/>
          <c:x val="7.282462672913842E-2"/>
          <c:y val="0.11898323418063819"/>
          <c:w val="0.52684431263972098"/>
          <c:h val="0.1910940012974312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565860076889885"/>
          <c:y val="1.2851631631979304E-2"/>
          <c:w val="0.61862352062389114"/>
          <c:h val="0.95411011149253444"/>
        </c:manualLayout>
      </c:layout>
      <c:barChart>
        <c:barDir val="bar"/>
        <c:grouping val="stacked"/>
        <c:ser>
          <c:idx val="0"/>
          <c:order val="0"/>
          <c:tx>
            <c:strRef>
              <c:f>'Nivå besøk 2013 figur m rang'!$E$1</c:f>
              <c:strCache>
                <c:ptCount val="1"/>
                <c:pt idx="0">
                  <c:v>Aktivitet</c:v>
                </c:pt>
              </c:strCache>
            </c:strRef>
          </c:tx>
          <c:spPr>
            <a:solidFill>
              <a:srgbClr val="7030A0"/>
            </a:solidFill>
            <a:ln>
              <a:noFill/>
            </a:ln>
            <a:effectLst/>
          </c:spPr>
          <c:cat>
            <c:strRef>
              <c:f>'Nivå besøk 2013 figur m rang'!$D$79:$D$100</c:f>
              <c:strCache>
                <c:ptCount val="22"/>
                <c:pt idx="0">
                  <c:v>Os - 426</c:v>
                </c:pt>
                <c:pt idx="1">
                  <c:v>Våler - 387</c:v>
                </c:pt>
                <c:pt idx="2">
                  <c:v>Løten - 359</c:v>
                </c:pt>
                <c:pt idx="3">
                  <c:v>Stange - 333</c:v>
                </c:pt>
                <c:pt idx="4">
                  <c:v>Tolga - 332</c:v>
                </c:pt>
                <c:pt idx="5">
                  <c:v>Nord-Odal - 330</c:v>
                </c:pt>
                <c:pt idx="6">
                  <c:v>Eidskog - 292</c:v>
                </c:pt>
                <c:pt idx="7">
                  <c:v>Sør-Odal - 251</c:v>
                </c:pt>
                <c:pt idx="8">
                  <c:v>Folldal - 240</c:v>
                </c:pt>
                <c:pt idx="9">
                  <c:v>Grue - 234</c:v>
                </c:pt>
                <c:pt idx="10">
                  <c:v>Alvdal - 207</c:v>
                </c:pt>
                <c:pt idx="11">
                  <c:v>Engerdal - 203</c:v>
                </c:pt>
                <c:pt idx="12">
                  <c:v>Rendalen - 184</c:v>
                </c:pt>
                <c:pt idx="13">
                  <c:v>Stor-Elvdal - 157</c:v>
                </c:pt>
                <c:pt idx="14">
                  <c:v>Åsnes - 156</c:v>
                </c:pt>
                <c:pt idx="15">
                  <c:v>Åmot - 145</c:v>
                </c:pt>
                <c:pt idx="16">
                  <c:v>Ringsaker - 135</c:v>
                </c:pt>
                <c:pt idx="17">
                  <c:v>Kongsvinger - 57</c:v>
                </c:pt>
                <c:pt idx="18">
                  <c:v>Elverum - 56</c:v>
                </c:pt>
                <c:pt idx="19">
                  <c:v>Hamar - 27</c:v>
                </c:pt>
                <c:pt idx="20">
                  <c:v>Tynset - 24</c:v>
                </c:pt>
                <c:pt idx="21">
                  <c:v>Trysil - 18</c:v>
                </c:pt>
              </c:strCache>
            </c:strRef>
          </c:cat>
          <c:val>
            <c:numRef>
              <c:f>'Nivå besøk 2013 figur m rang'!$E$79:$E$100</c:f>
              <c:numCache>
                <c:formatCode>General</c:formatCode>
                <c:ptCount val="22"/>
                <c:pt idx="0">
                  <c:v>0.8310249307479225</c:v>
                </c:pt>
                <c:pt idx="1">
                  <c:v>1.0250569476082005</c:v>
                </c:pt>
                <c:pt idx="2">
                  <c:v>0.67385444743935363</c:v>
                </c:pt>
                <c:pt idx="3">
                  <c:v>1.1557684298209081</c:v>
                </c:pt>
                <c:pt idx="4">
                  <c:v>0.91116173120728927</c:v>
                </c:pt>
                <c:pt idx="5">
                  <c:v>1.0738831615120279</c:v>
                </c:pt>
                <c:pt idx="6">
                  <c:v>1.6306274370790499</c:v>
                </c:pt>
                <c:pt idx="7">
                  <c:v>1.2236396771674032</c:v>
                </c:pt>
                <c:pt idx="8">
                  <c:v>1.5531660692951015</c:v>
                </c:pt>
                <c:pt idx="9">
                  <c:v>1.6941596076683019</c:v>
                </c:pt>
                <c:pt idx="10">
                  <c:v>0.69390902081727068</c:v>
                </c:pt>
                <c:pt idx="11">
                  <c:v>1.384615384615385</c:v>
                </c:pt>
                <c:pt idx="12">
                  <c:v>1.1702127659574473</c:v>
                </c:pt>
                <c:pt idx="13">
                  <c:v>1.6309012875536477</c:v>
                </c:pt>
                <c:pt idx="14">
                  <c:v>1.4017297942141353</c:v>
                </c:pt>
                <c:pt idx="15">
                  <c:v>3.0927835051546393</c:v>
                </c:pt>
                <c:pt idx="16">
                  <c:v>1.5517449583383645</c:v>
                </c:pt>
                <c:pt idx="17">
                  <c:v>2.0163348647269022</c:v>
                </c:pt>
                <c:pt idx="18">
                  <c:v>1.8123040752351098</c:v>
                </c:pt>
                <c:pt idx="19">
                  <c:v>3.2512998266897748</c:v>
                </c:pt>
                <c:pt idx="20">
                  <c:v>3.0949105914718018</c:v>
                </c:pt>
                <c:pt idx="21">
                  <c:v>6.2274664044575552</c:v>
                </c:pt>
              </c:numCache>
            </c:numRef>
          </c:val>
        </c:ser>
        <c:ser>
          <c:idx val="1"/>
          <c:order val="1"/>
          <c:tx>
            <c:strRef>
              <c:f>'Nivå besøk 2013 figur m rang'!$F$1</c:f>
              <c:strCache>
                <c:ptCount val="1"/>
                <c:pt idx="0">
                  <c:v>Handel</c:v>
                </c:pt>
              </c:strCache>
            </c:strRef>
          </c:tx>
          <c:spPr>
            <a:solidFill>
              <a:srgbClr val="C00000"/>
            </a:solidFill>
            <a:ln>
              <a:noFill/>
            </a:ln>
            <a:effectLst/>
          </c:spPr>
          <c:dLbls>
            <c:dLbl>
              <c:idx val="1"/>
              <c:showVal val="1"/>
              <c:extLst>
                <c:ext xmlns:c15="http://schemas.microsoft.com/office/drawing/2012/chart" uri="{CE6537A1-D6FC-4f65-9D91-7224C49458BB}">
                  <c15:layout/>
                </c:ext>
              </c:extLst>
            </c:dLbl>
            <c:dLbl>
              <c:idx val="5"/>
              <c:showVal val="1"/>
              <c:extLst>
                <c:ext xmlns:c15="http://schemas.microsoft.com/office/drawing/2012/chart" uri="{CE6537A1-D6FC-4f65-9D91-7224C49458BB}">
                  <c15:layout/>
                </c:ext>
              </c:extLst>
            </c:dLbl>
            <c:dLbl>
              <c:idx val="6"/>
              <c:showVal val="1"/>
              <c:extLst>
                <c:ext xmlns:c15="http://schemas.microsoft.com/office/drawing/2012/chart" uri="{CE6537A1-D6FC-4f65-9D91-7224C49458BB}">
                  <c15:layout/>
                </c:ext>
              </c:extLst>
            </c:dLbl>
            <c:dLbl>
              <c:idx val="7"/>
              <c:showVal val="1"/>
              <c:extLst>
                <c:ext xmlns:c15="http://schemas.microsoft.com/office/drawing/2012/chart" uri="{CE6537A1-D6FC-4f65-9D91-7224C49458BB}">
                  <c15:layout/>
                </c:ext>
              </c:extLst>
            </c:dLbl>
            <c:dLbl>
              <c:idx val="9"/>
              <c:showVal val="1"/>
              <c:extLst>
                <c:ext xmlns:c15="http://schemas.microsoft.com/office/drawing/2012/chart" uri="{CE6537A1-D6FC-4f65-9D91-7224C49458BB}">
                  <c15:layout/>
                </c:ext>
              </c:extLst>
            </c:dLbl>
            <c:dLbl>
              <c:idx val="14"/>
              <c:showVal val="1"/>
              <c:extLst>
                <c:ext xmlns:c15="http://schemas.microsoft.com/office/drawing/2012/chart" uri="{CE6537A1-D6FC-4f65-9D91-7224C49458BB}">
                  <c15:layout/>
                </c:ext>
              </c:extLst>
            </c:dLbl>
            <c:dLbl>
              <c:idx val="17"/>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'Nivå besøk 2013 figur m rang'!$D$79:$D$100</c:f>
              <c:strCache>
                <c:ptCount val="22"/>
                <c:pt idx="0">
                  <c:v>Os - 426</c:v>
                </c:pt>
                <c:pt idx="1">
                  <c:v>Våler - 387</c:v>
                </c:pt>
                <c:pt idx="2">
                  <c:v>Løten - 359</c:v>
                </c:pt>
                <c:pt idx="3">
                  <c:v>Stange - 333</c:v>
                </c:pt>
                <c:pt idx="4">
                  <c:v>Tolga - 332</c:v>
                </c:pt>
                <c:pt idx="5">
                  <c:v>Nord-Odal - 330</c:v>
                </c:pt>
                <c:pt idx="6">
                  <c:v>Eidskog - 292</c:v>
                </c:pt>
                <c:pt idx="7">
                  <c:v>Sør-Odal - 251</c:v>
                </c:pt>
                <c:pt idx="8">
                  <c:v>Folldal - 240</c:v>
                </c:pt>
                <c:pt idx="9">
                  <c:v>Grue - 234</c:v>
                </c:pt>
                <c:pt idx="10">
                  <c:v>Alvdal - 207</c:v>
                </c:pt>
                <c:pt idx="11">
                  <c:v>Engerdal - 203</c:v>
                </c:pt>
                <c:pt idx="12">
                  <c:v>Rendalen - 184</c:v>
                </c:pt>
                <c:pt idx="13">
                  <c:v>Stor-Elvdal - 157</c:v>
                </c:pt>
                <c:pt idx="14">
                  <c:v>Åsnes - 156</c:v>
                </c:pt>
                <c:pt idx="15">
                  <c:v>Åmot - 145</c:v>
                </c:pt>
                <c:pt idx="16">
                  <c:v>Ringsaker - 135</c:v>
                </c:pt>
                <c:pt idx="17">
                  <c:v>Kongsvinger - 57</c:v>
                </c:pt>
                <c:pt idx="18">
                  <c:v>Elverum - 56</c:v>
                </c:pt>
                <c:pt idx="19">
                  <c:v>Hamar - 27</c:v>
                </c:pt>
                <c:pt idx="20">
                  <c:v>Tynset - 24</c:v>
                </c:pt>
                <c:pt idx="21">
                  <c:v>Trysil - 18</c:v>
                </c:pt>
              </c:strCache>
            </c:strRef>
          </c:cat>
          <c:val>
            <c:numRef>
              <c:f>'Nivå besøk 2013 figur m rang'!$F$79:$F$100</c:f>
              <c:numCache>
                <c:formatCode>General</c:formatCode>
                <c:ptCount val="22"/>
                <c:pt idx="0">
                  <c:v>1.4773776546629727</c:v>
                </c:pt>
                <c:pt idx="1">
                  <c:v>3.9863325740318909</c:v>
                </c:pt>
                <c:pt idx="2">
                  <c:v>4.5013477088948823</c:v>
                </c:pt>
                <c:pt idx="3">
                  <c:v>5.4872969596001679</c:v>
                </c:pt>
                <c:pt idx="4">
                  <c:v>5.5808656036446491</c:v>
                </c:pt>
                <c:pt idx="5">
                  <c:v>5.1975945017182088</c:v>
                </c:pt>
                <c:pt idx="6">
                  <c:v>5.9907834101382482</c:v>
                </c:pt>
                <c:pt idx="7">
                  <c:v>6.0140588388440497</c:v>
                </c:pt>
                <c:pt idx="8">
                  <c:v>5.8542413381123062</c:v>
                </c:pt>
                <c:pt idx="9">
                  <c:v>5.8849754792688342</c:v>
                </c:pt>
                <c:pt idx="10">
                  <c:v>7.3245952197378523</c:v>
                </c:pt>
                <c:pt idx="11">
                  <c:v>5.8461538461538458</c:v>
                </c:pt>
                <c:pt idx="12">
                  <c:v>7.0212765957446832</c:v>
                </c:pt>
                <c:pt idx="13">
                  <c:v>8.4120171673819737</c:v>
                </c:pt>
                <c:pt idx="14">
                  <c:v>10.289293170295258</c:v>
                </c:pt>
                <c:pt idx="15">
                  <c:v>7.8725398313027162</c:v>
                </c:pt>
                <c:pt idx="16">
                  <c:v>10.071247433884796</c:v>
                </c:pt>
                <c:pt idx="17">
                  <c:v>13.820826952526803</c:v>
                </c:pt>
                <c:pt idx="18">
                  <c:v>13.077978056426332</c:v>
                </c:pt>
                <c:pt idx="19">
                  <c:v>13.483535528596194</c:v>
                </c:pt>
                <c:pt idx="20">
                  <c:v>15.508940852819808</c:v>
                </c:pt>
                <c:pt idx="21">
                  <c:v>11.701081612586037</c:v>
                </c:pt>
              </c:numCache>
            </c:numRef>
          </c:val>
        </c:ser>
        <c:ser>
          <c:idx val="2"/>
          <c:order val="2"/>
          <c:tx>
            <c:strRef>
              <c:f>'Nivå besøk 2013 figur m rang'!$G$1</c:f>
              <c:strCache>
                <c:ptCount val="1"/>
                <c:pt idx="0">
                  <c:v>Overnatting</c:v>
                </c:pt>
              </c:strCache>
            </c:strRef>
          </c:tx>
          <c:spPr>
            <a:solidFill>
              <a:srgbClr val="FFC000"/>
            </a:solidFill>
            <a:ln>
              <a:noFill/>
            </a:ln>
            <a:effectLst/>
          </c:spPr>
          <c:cat>
            <c:strRef>
              <c:f>'Nivå besøk 2013 figur m rang'!$D$79:$D$100</c:f>
              <c:strCache>
                <c:ptCount val="22"/>
                <c:pt idx="0">
                  <c:v>Os - 426</c:v>
                </c:pt>
                <c:pt idx="1">
                  <c:v>Våler - 387</c:v>
                </c:pt>
                <c:pt idx="2">
                  <c:v>Løten - 359</c:v>
                </c:pt>
                <c:pt idx="3">
                  <c:v>Stange - 333</c:v>
                </c:pt>
                <c:pt idx="4">
                  <c:v>Tolga - 332</c:v>
                </c:pt>
                <c:pt idx="5">
                  <c:v>Nord-Odal - 330</c:v>
                </c:pt>
                <c:pt idx="6">
                  <c:v>Eidskog - 292</c:v>
                </c:pt>
                <c:pt idx="7">
                  <c:v>Sør-Odal - 251</c:v>
                </c:pt>
                <c:pt idx="8">
                  <c:v>Folldal - 240</c:v>
                </c:pt>
                <c:pt idx="9">
                  <c:v>Grue - 234</c:v>
                </c:pt>
                <c:pt idx="10">
                  <c:v>Alvdal - 207</c:v>
                </c:pt>
                <c:pt idx="11">
                  <c:v>Engerdal - 203</c:v>
                </c:pt>
                <c:pt idx="12">
                  <c:v>Rendalen - 184</c:v>
                </c:pt>
                <c:pt idx="13">
                  <c:v>Stor-Elvdal - 157</c:v>
                </c:pt>
                <c:pt idx="14">
                  <c:v>Åsnes - 156</c:v>
                </c:pt>
                <c:pt idx="15">
                  <c:v>Åmot - 145</c:v>
                </c:pt>
                <c:pt idx="16">
                  <c:v>Ringsaker - 135</c:v>
                </c:pt>
                <c:pt idx="17">
                  <c:v>Kongsvinger - 57</c:v>
                </c:pt>
                <c:pt idx="18">
                  <c:v>Elverum - 56</c:v>
                </c:pt>
                <c:pt idx="19">
                  <c:v>Hamar - 27</c:v>
                </c:pt>
                <c:pt idx="20">
                  <c:v>Tynset - 24</c:v>
                </c:pt>
                <c:pt idx="21">
                  <c:v>Trysil - 18</c:v>
                </c:pt>
              </c:strCache>
            </c:strRef>
          </c:cat>
          <c:val>
            <c:numRef>
              <c:f>'Nivå besøk 2013 figur m rang'!$G$79:$G$100</c:f>
              <c:numCache>
                <c:formatCode>General</c:formatCode>
                <c:ptCount val="22"/>
                <c:pt idx="0">
                  <c:v>0</c:v>
                </c:pt>
                <c:pt idx="1">
                  <c:v>0.398633257403189</c:v>
                </c:pt>
                <c:pt idx="2">
                  <c:v>0.83557951482479809</c:v>
                </c:pt>
                <c:pt idx="3">
                  <c:v>0.2498958767180342</c:v>
                </c:pt>
                <c:pt idx="4">
                  <c:v>0.797266514806378</c:v>
                </c:pt>
                <c:pt idx="5">
                  <c:v>0.85910652920962183</c:v>
                </c:pt>
                <c:pt idx="6">
                  <c:v>0</c:v>
                </c:pt>
                <c:pt idx="7">
                  <c:v>0.67690705545430918</c:v>
                </c:pt>
                <c:pt idx="8">
                  <c:v>1.5531660692951015</c:v>
                </c:pt>
                <c:pt idx="9">
                  <c:v>1.6941596076683019</c:v>
                </c:pt>
                <c:pt idx="10">
                  <c:v>2.3130300693909018</c:v>
                </c:pt>
                <c:pt idx="11">
                  <c:v>3.0769230769230771</c:v>
                </c:pt>
                <c:pt idx="12">
                  <c:v>1.7021276595744674</c:v>
                </c:pt>
                <c:pt idx="13">
                  <c:v>0.85836909871244638</c:v>
                </c:pt>
                <c:pt idx="14">
                  <c:v>0.14912019087384434</c:v>
                </c:pt>
                <c:pt idx="15">
                  <c:v>1.3120899718837871</c:v>
                </c:pt>
                <c:pt idx="16">
                  <c:v>0.93587730950368342</c:v>
                </c:pt>
                <c:pt idx="17">
                  <c:v>0.6253190403266975</c:v>
                </c:pt>
                <c:pt idx="18">
                  <c:v>1.0579937304075231</c:v>
                </c:pt>
                <c:pt idx="19">
                  <c:v>1.2062391681109186</c:v>
                </c:pt>
                <c:pt idx="20">
                  <c:v>1.7537826685006876</c:v>
                </c:pt>
                <c:pt idx="21">
                  <c:v>2.2943297279580475</c:v>
                </c:pt>
              </c:numCache>
            </c:numRef>
          </c:val>
        </c:ser>
        <c:ser>
          <c:idx val="3"/>
          <c:order val="3"/>
          <c:tx>
            <c:strRef>
              <c:f>'Nivå besøk 2013 figur m rang'!$H$1</c:f>
              <c:strCache>
                <c:ptCount val="1"/>
                <c:pt idx="0">
                  <c:v>Servering</c:v>
                </c:pt>
              </c:strCache>
            </c:strRef>
          </c:tx>
          <c:spPr>
            <a:solidFill>
              <a:srgbClr val="92D050"/>
            </a:solidFill>
            <a:ln>
              <a:noFill/>
            </a:ln>
            <a:effectLst/>
          </c:spPr>
          <c:cat>
            <c:strRef>
              <c:f>'Nivå besøk 2013 figur m rang'!$D$79:$D$100</c:f>
              <c:strCache>
                <c:ptCount val="22"/>
                <c:pt idx="0">
                  <c:v>Os - 426</c:v>
                </c:pt>
                <c:pt idx="1">
                  <c:v>Våler - 387</c:v>
                </c:pt>
                <c:pt idx="2">
                  <c:v>Løten - 359</c:v>
                </c:pt>
                <c:pt idx="3">
                  <c:v>Stange - 333</c:v>
                </c:pt>
                <c:pt idx="4">
                  <c:v>Tolga - 332</c:v>
                </c:pt>
                <c:pt idx="5">
                  <c:v>Nord-Odal - 330</c:v>
                </c:pt>
                <c:pt idx="6">
                  <c:v>Eidskog - 292</c:v>
                </c:pt>
                <c:pt idx="7">
                  <c:v>Sør-Odal - 251</c:v>
                </c:pt>
                <c:pt idx="8">
                  <c:v>Folldal - 240</c:v>
                </c:pt>
                <c:pt idx="9">
                  <c:v>Grue - 234</c:v>
                </c:pt>
                <c:pt idx="10">
                  <c:v>Alvdal - 207</c:v>
                </c:pt>
                <c:pt idx="11">
                  <c:v>Engerdal - 203</c:v>
                </c:pt>
                <c:pt idx="12">
                  <c:v>Rendalen - 184</c:v>
                </c:pt>
                <c:pt idx="13">
                  <c:v>Stor-Elvdal - 157</c:v>
                </c:pt>
                <c:pt idx="14">
                  <c:v>Åsnes - 156</c:v>
                </c:pt>
                <c:pt idx="15">
                  <c:v>Åmot - 145</c:v>
                </c:pt>
                <c:pt idx="16">
                  <c:v>Ringsaker - 135</c:v>
                </c:pt>
                <c:pt idx="17">
                  <c:v>Kongsvinger - 57</c:v>
                </c:pt>
                <c:pt idx="18">
                  <c:v>Elverum - 56</c:v>
                </c:pt>
                <c:pt idx="19">
                  <c:v>Hamar - 27</c:v>
                </c:pt>
                <c:pt idx="20">
                  <c:v>Tynset - 24</c:v>
                </c:pt>
                <c:pt idx="21">
                  <c:v>Trysil - 18</c:v>
                </c:pt>
              </c:strCache>
            </c:strRef>
          </c:cat>
          <c:val>
            <c:numRef>
              <c:f>'Nivå besøk 2013 figur m rang'!$H$79:$H$100</c:f>
              <c:numCache>
                <c:formatCode>General</c:formatCode>
                <c:ptCount val="22"/>
                <c:pt idx="0">
                  <c:v>0.18467220683287172</c:v>
                </c:pt>
                <c:pt idx="1">
                  <c:v>0.2847380410022779</c:v>
                </c:pt>
                <c:pt idx="2">
                  <c:v>0.53908355795148255</c:v>
                </c:pt>
                <c:pt idx="3">
                  <c:v>0.39566847147022094</c:v>
                </c:pt>
                <c:pt idx="4">
                  <c:v>0</c:v>
                </c:pt>
                <c:pt idx="5">
                  <c:v>0.17182130584192445</c:v>
                </c:pt>
                <c:pt idx="6">
                  <c:v>0.38993264799716437</c:v>
                </c:pt>
                <c:pt idx="7">
                  <c:v>1.2236396771674032</c:v>
                </c:pt>
                <c:pt idx="8">
                  <c:v>0.47789725209080047</c:v>
                </c:pt>
                <c:pt idx="9">
                  <c:v>0.35666518056174767</c:v>
                </c:pt>
                <c:pt idx="10">
                  <c:v>0</c:v>
                </c:pt>
                <c:pt idx="11">
                  <c:v>0.30769230769230782</c:v>
                </c:pt>
                <c:pt idx="12">
                  <c:v>1.1702127659574473</c:v>
                </c:pt>
                <c:pt idx="13">
                  <c:v>1.3733905579399137</c:v>
                </c:pt>
                <c:pt idx="14">
                  <c:v>0.47718461079630187</c:v>
                </c:pt>
                <c:pt idx="15">
                  <c:v>0.51546391752577314</c:v>
                </c:pt>
                <c:pt idx="16">
                  <c:v>0.7970051926095888</c:v>
                </c:pt>
                <c:pt idx="17">
                  <c:v>0.91883614088820809</c:v>
                </c:pt>
                <c:pt idx="18">
                  <c:v>1.5380094043887151</c:v>
                </c:pt>
                <c:pt idx="19">
                  <c:v>2.2391681109185435</c:v>
                </c:pt>
                <c:pt idx="20">
                  <c:v>1.1348005502063279</c:v>
                </c:pt>
                <c:pt idx="21">
                  <c:v>1.9337921992789251</c:v>
                </c:pt>
              </c:numCache>
            </c:numRef>
          </c:val>
        </c:ser>
        <c:gapWidth val="30"/>
        <c:overlap val="100"/>
        <c:axId val="249430784"/>
        <c:axId val="249432320"/>
      </c:barChart>
      <c:catAx>
        <c:axId val="249430784"/>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9432320"/>
        <c:crosses val="autoZero"/>
        <c:auto val="1"/>
        <c:lblAlgn val="ctr"/>
        <c:lblOffset val="100"/>
      </c:catAx>
      <c:valAx>
        <c:axId val="24943232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9430784"/>
        <c:crosses val="autoZero"/>
        <c:crossBetween val="between"/>
      </c:valAx>
      <c:spPr>
        <a:noFill/>
        <a:ln>
          <a:noFill/>
        </a:ln>
        <a:effectLst/>
      </c:spPr>
    </c:plotArea>
    <c:legend>
      <c:legendPos val="t"/>
      <c:layout>
        <c:manualLayout>
          <c:xMode val="edge"/>
          <c:yMode val="edge"/>
          <c:x val="0.70975624130534598"/>
          <c:y val="0.34239442686702065"/>
          <c:w val="0.25585740424744574"/>
          <c:h val="0.1587808310126722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barChart>
        <c:barDir val="bar"/>
        <c:grouping val="stacked"/>
        <c:ser>
          <c:idx val="0"/>
          <c:order val="0"/>
          <c:tx>
            <c:strRef>
              <c:f>'Vekstimpuls besøk 2000-2013'!$F$1</c:f>
              <c:strCache>
                <c:ptCount val="1"/>
                <c:pt idx="0">
                  <c:v>Aktivitet</c:v>
                </c:pt>
              </c:strCache>
            </c:strRef>
          </c:tx>
          <c:spPr>
            <a:solidFill>
              <a:srgbClr val="7030A0"/>
            </a:solidFill>
            <a:ln>
              <a:noFill/>
            </a:ln>
            <a:effectLst/>
          </c:spPr>
          <c:cat>
            <c:strRef>
              <c:f>'Vekstimpuls besøk 2000-2013'!$E$43:$E$64</c:f>
              <c:strCache>
                <c:ptCount val="22"/>
                <c:pt idx="0">
                  <c:v>Os - 404</c:v>
                </c:pt>
                <c:pt idx="1">
                  <c:v>Stor-Elvdal - 399</c:v>
                </c:pt>
                <c:pt idx="2">
                  <c:v>Åsnes - 388</c:v>
                </c:pt>
                <c:pt idx="3">
                  <c:v>Åmot - 374</c:v>
                </c:pt>
                <c:pt idx="4">
                  <c:v>Løten - 371</c:v>
                </c:pt>
                <c:pt idx="5">
                  <c:v>Våler - 368</c:v>
                </c:pt>
                <c:pt idx="6">
                  <c:v>Alvdal - 366</c:v>
                </c:pt>
                <c:pt idx="7">
                  <c:v>Grue - 347</c:v>
                </c:pt>
                <c:pt idx="8">
                  <c:v>Engerdal - 339</c:v>
                </c:pt>
                <c:pt idx="9">
                  <c:v>Nord-Odal - 292</c:v>
                </c:pt>
                <c:pt idx="10">
                  <c:v>Tolga - 287</c:v>
                </c:pt>
                <c:pt idx="11">
                  <c:v>Eidskog - 273</c:v>
                </c:pt>
                <c:pt idx="12">
                  <c:v>Sør-Odal - 259</c:v>
                </c:pt>
                <c:pt idx="13">
                  <c:v>Trysil - 248</c:v>
                </c:pt>
                <c:pt idx="14">
                  <c:v>Hamar - 244</c:v>
                </c:pt>
                <c:pt idx="15">
                  <c:v>Folldal - 198</c:v>
                </c:pt>
                <c:pt idx="16">
                  <c:v>Rendalen - 187</c:v>
                </c:pt>
                <c:pt idx="17">
                  <c:v>Stange - 180</c:v>
                </c:pt>
                <c:pt idx="18">
                  <c:v>Tynset - 164</c:v>
                </c:pt>
                <c:pt idx="19">
                  <c:v>Kongsvinger - 157</c:v>
                </c:pt>
                <c:pt idx="20">
                  <c:v>Elverum - 118</c:v>
                </c:pt>
                <c:pt idx="21">
                  <c:v>Ringsaker - 105</c:v>
                </c:pt>
              </c:strCache>
            </c:strRef>
          </c:cat>
          <c:val>
            <c:numRef>
              <c:f>'Vekstimpuls besøk 2000-2013'!$F$43:$F$64</c:f>
              <c:numCache>
                <c:formatCode>0.0</c:formatCode>
                <c:ptCount val="22"/>
                <c:pt idx="0">
                  <c:v>9.099181073703369E-2</c:v>
                </c:pt>
                <c:pt idx="1">
                  <c:v>0</c:v>
                </c:pt>
                <c:pt idx="2">
                  <c:v>0</c:v>
                </c:pt>
                <c:pt idx="3">
                  <c:v>1.1663286004056796</c:v>
                </c:pt>
                <c:pt idx="4">
                  <c:v>0</c:v>
                </c:pt>
                <c:pt idx="5">
                  <c:v>0.10537407797681775</c:v>
                </c:pt>
                <c:pt idx="6">
                  <c:v>-1.0603588907014683</c:v>
                </c:pt>
                <c:pt idx="7">
                  <c:v>8.006405124099282E-2</c:v>
                </c:pt>
                <c:pt idx="8">
                  <c:v>-1.3623978201634881</c:v>
                </c:pt>
                <c:pt idx="9">
                  <c:v>0.4487964096287228</c:v>
                </c:pt>
                <c:pt idx="10">
                  <c:v>0.34682080924855513</c:v>
                </c:pt>
                <c:pt idx="11">
                  <c:v>0.69228106611284179</c:v>
                </c:pt>
                <c:pt idx="12">
                  <c:v>0.32697547683923728</c:v>
                </c:pt>
                <c:pt idx="13">
                  <c:v>1.253439315194129</c:v>
                </c:pt>
                <c:pt idx="14">
                  <c:v>0.48940888583008352</c:v>
                </c:pt>
                <c:pt idx="15">
                  <c:v>0.11299435028248592</c:v>
                </c:pt>
                <c:pt idx="16">
                  <c:v>0.30959752321981443</c:v>
                </c:pt>
                <c:pt idx="17">
                  <c:v>0.35124692658939233</c:v>
                </c:pt>
                <c:pt idx="18">
                  <c:v>0.56798012069577564</c:v>
                </c:pt>
                <c:pt idx="19">
                  <c:v>2.3829381627546772E-2</c:v>
                </c:pt>
                <c:pt idx="20">
                  <c:v>-0.34160783420633106</c:v>
                </c:pt>
                <c:pt idx="21">
                  <c:v>0.72206820965766227</c:v>
                </c:pt>
              </c:numCache>
            </c:numRef>
          </c:val>
        </c:ser>
        <c:ser>
          <c:idx val="1"/>
          <c:order val="1"/>
          <c:tx>
            <c:strRef>
              <c:f>'Vekstimpuls besøk 2000-2013'!$G$1</c:f>
              <c:strCache>
                <c:ptCount val="1"/>
                <c:pt idx="0">
                  <c:v>Handel</c:v>
                </c:pt>
              </c:strCache>
            </c:strRef>
          </c:tx>
          <c:spPr>
            <a:solidFill>
              <a:srgbClr val="C00000"/>
            </a:solidFill>
            <a:ln>
              <a:noFill/>
            </a:ln>
            <a:effectLst/>
          </c:spPr>
          <c:cat>
            <c:strRef>
              <c:f>'Vekstimpuls besøk 2000-2013'!$E$43:$E$64</c:f>
              <c:strCache>
                <c:ptCount val="22"/>
                <c:pt idx="0">
                  <c:v>Os - 404</c:v>
                </c:pt>
                <c:pt idx="1">
                  <c:v>Stor-Elvdal - 399</c:v>
                </c:pt>
                <c:pt idx="2">
                  <c:v>Åsnes - 388</c:v>
                </c:pt>
                <c:pt idx="3">
                  <c:v>Åmot - 374</c:v>
                </c:pt>
                <c:pt idx="4">
                  <c:v>Løten - 371</c:v>
                </c:pt>
                <c:pt idx="5">
                  <c:v>Våler - 368</c:v>
                </c:pt>
                <c:pt idx="6">
                  <c:v>Alvdal - 366</c:v>
                </c:pt>
                <c:pt idx="7">
                  <c:v>Grue - 347</c:v>
                </c:pt>
                <c:pt idx="8">
                  <c:v>Engerdal - 339</c:v>
                </c:pt>
                <c:pt idx="9">
                  <c:v>Nord-Odal - 292</c:v>
                </c:pt>
                <c:pt idx="10">
                  <c:v>Tolga - 287</c:v>
                </c:pt>
                <c:pt idx="11">
                  <c:v>Eidskog - 273</c:v>
                </c:pt>
                <c:pt idx="12">
                  <c:v>Sør-Odal - 259</c:v>
                </c:pt>
                <c:pt idx="13">
                  <c:v>Trysil - 248</c:v>
                </c:pt>
                <c:pt idx="14">
                  <c:v>Hamar - 244</c:v>
                </c:pt>
                <c:pt idx="15">
                  <c:v>Folldal - 198</c:v>
                </c:pt>
                <c:pt idx="16">
                  <c:v>Rendalen - 187</c:v>
                </c:pt>
                <c:pt idx="17">
                  <c:v>Stange - 180</c:v>
                </c:pt>
                <c:pt idx="18">
                  <c:v>Tynset - 164</c:v>
                </c:pt>
                <c:pt idx="19">
                  <c:v>Kongsvinger - 157</c:v>
                </c:pt>
                <c:pt idx="20">
                  <c:v>Elverum - 118</c:v>
                </c:pt>
                <c:pt idx="21">
                  <c:v>Ringsaker - 105</c:v>
                </c:pt>
              </c:strCache>
            </c:strRef>
          </c:cat>
          <c:val>
            <c:numRef>
              <c:f>'Vekstimpuls besøk 2000-2013'!$G$43:$G$64</c:f>
              <c:numCache>
                <c:formatCode>0.0</c:formatCode>
                <c:ptCount val="22"/>
                <c:pt idx="0">
                  <c:v>-2.5477707006369443</c:v>
                </c:pt>
                <c:pt idx="1">
                  <c:v>-1.3980868285504051</c:v>
                </c:pt>
                <c:pt idx="2">
                  <c:v>-1.5541264737406217</c:v>
                </c:pt>
                <c:pt idx="3">
                  <c:v>-1.8762677484787025</c:v>
                </c:pt>
                <c:pt idx="4">
                  <c:v>-0.8</c:v>
                </c:pt>
                <c:pt idx="5">
                  <c:v>-1.7913593256059008</c:v>
                </c:pt>
                <c:pt idx="6">
                  <c:v>1.0603588907014683</c:v>
                </c:pt>
                <c:pt idx="7">
                  <c:v>-1.2810248198558842</c:v>
                </c:pt>
                <c:pt idx="8">
                  <c:v>-1.0899182561307899</c:v>
                </c:pt>
                <c:pt idx="9">
                  <c:v>-0.36719706242350059</c:v>
                </c:pt>
                <c:pt idx="10">
                  <c:v>-1.1560693641618502</c:v>
                </c:pt>
                <c:pt idx="11">
                  <c:v>-0.4845967462789893</c:v>
                </c:pt>
                <c:pt idx="12">
                  <c:v>-0.87193460490463204</c:v>
                </c:pt>
                <c:pt idx="13">
                  <c:v>-9.1715071843472981E-2</c:v>
                </c:pt>
                <c:pt idx="14">
                  <c:v>3.8235069205475272E-2</c:v>
                </c:pt>
                <c:pt idx="15">
                  <c:v>0.11299435028248592</c:v>
                </c:pt>
                <c:pt idx="16">
                  <c:v>0.92879256965944279</c:v>
                </c:pt>
                <c:pt idx="17">
                  <c:v>0.91324200913241993</c:v>
                </c:pt>
                <c:pt idx="18">
                  <c:v>1.2779552715654952</c:v>
                </c:pt>
                <c:pt idx="19">
                  <c:v>1.8467770761348741</c:v>
                </c:pt>
                <c:pt idx="20">
                  <c:v>2.1521293554998864</c:v>
                </c:pt>
                <c:pt idx="21">
                  <c:v>1.798723486557926</c:v>
                </c:pt>
              </c:numCache>
            </c:numRef>
          </c:val>
        </c:ser>
        <c:ser>
          <c:idx val="2"/>
          <c:order val="2"/>
          <c:tx>
            <c:strRef>
              <c:f>'Vekstimpuls besøk 2000-2013'!$H$1</c:f>
              <c:strCache>
                <c:ptCount val="1"/>
                <c:pt idx="0">
                  <c:v>Overnatting</c:v>
                </c:pt>
              </c:strCache>
            </c:strRef>
          </c:tx>
          <c:spPr>
            <a:solidFill>
              <a:srgbClr val="FFC000"/>
            </a:solidFill>
            <a:ln>
              <a:noFill/>
            </a:ln>
            <a:effectLst/>
          </c:spPr>
          <c:cat>
            <c:strRef>
              <c:f>'Vekstimpuls besøk 2000-2013'!$E$43:$E$64</c:f>
              <c:strCache>
                <c:ptCount val="22"/>
                <c:pt idx="0">
                  <c:v>Os - 404</c:v>
                </c:pt>
                <c:pt idx="1">
                  <c:v>Stor-Elvdal - 399</c:v>
                </c:pt>
                <c:pt idx="2">
                  <c:v>Åsnes - 388</c:v>
                </c:pt>
                <c:pt idx="3">
                  <c:v>Åmot - 374</c:v>
                </c:pt>
                <c:pt idx="4">
                  <c:v>Løten - 371</c:v>
                </c:pt>
                <c:pt idx="5">
                  <c:v>Våler - 368</c:v>
                </c:pt>
                <c:pt idx="6">
                  <c:v>Alvdal - 366</c:v>
                </c:pt>
                <c:pt idx="7">
                  <c:v>Grue - 347</c:v>
                </c:pt>
                <c:pt idx="8">
                  <c:v>Engerdal - 339</c:v>
                </c:pt>
                <c:pt idx="9">
                  <c:v>Nord-Odal - 292</c:v>
                </c:pt>
                <c:pt idx="10">
                  <c:v>Tolga - 287</c:v>
                </c:pt>
                <c:pt idx="11">
                  <c:v>Eidskog - 273</c:v>
                </c:pt>
                <c:pt idx="12">
                  <c:v>Sør-Odal - 259</c:v>
                </c:pt>
                <c:pt idx="13">
                  <c:v>Trysil - 248</c:v>
                </c:pt>
                <c:pt idx="14">
                  <c:v>Hamar - 244</c:v>
                </c:pt>
                <c:pt idx="15">
                  <c:v>Folldal - 198</c:v>
                </c:pt>
                <c:pt idx="16">
                  <c:v>Rendalen - 187</c:v>
                </c:pt>
                <c:pt idx="17">
                  <c:v>Stange - 180</c:v>
                </c:pt>
                <c:pt idx="18">
                  <c:v>Tynset - 164</c:v>
                </c:pt>
                <c:pt idx="19">
                  <c:v>Kongsvinger - 157</c:v>
                </c:pt>
                <c:pt idx="20">
                  <c:v>Elverum - 118</c:v>
                </c:pt>
                <c:pt idx="21">
                  <c:v>Ringsaker - 105</c:v>
                </c:pt>
              </c:strCache>
            </c:strRef>
          </c:cat>
          <c:val>
            <c:numRef>
              <c:f>'Vekstimpuls besøk 2000-2013'!$H$43:$H$64</c:f>
              <c:numCache>
                <c:formatCode>0.0</c:formatCode>
                <c:ptCount val="22"/>
                <c:pt idx="0">
                  <c:v>0</c:v>
                </c:pt>
                <c:pt idx="1">
                  <c:v>-0.14716703458425323</c:v>
                </c:pt>
                <c:pt idx="2">
                  <c:v>5.3590568060021437E-2</c:v>
                </c:pt>
                <c:pt idx="3">
                  <c:v>-0.60851926977687631</c:v>
                </c:pt>
                <c:pt idx="4">
                  <c:v>0.7407407407407407</c:v>
                </c:pt>
                <c:pt idx="5">
                  <c:v>0</c:v>
                </c:pt>
                <c:pt idx="6">
                  <c:v>-1.4681892332789559</c:v>
                </c:pt>
                <c:pt idx="7">
                  <c:v>0.32025620496397128</c:v>
                </c:pt>
                <c:pt idx="8">
                  <c:v>1.6348773841961857</c:v>
                </c:pt>
                <c:pt idx="9">
                  <c:v>0.32639738882088953</c:v>
                </c:pt>
                <c:pt idx="10">
                  <c:v>0.69364161849711026</c:v>
                </c:pt>
                <c:pt idx="11">
                  <c:v>0</c:v>
                </c:pt>
                <c:pt idx="12">
                  <c:v>0.65395095367847478</c:v>
                </c:pt>
                <c:pt idx="13">
                  <c:v>-1.2840110058086216</c:v>
                </c:pt>
                <c:pt idx="14">
                  <c:v>3.0588055364380203E-2</c:v>
                </c:pt>
                <c:pt idx="15">
                  <c:v>0.33898305084745789</c:v>
                </c:pt>
                <c:pt idx="16">
                  <c:v>-0.51599587203302422</c:v>
                </c:pt>
                <c:pt idx="17">
                  <c:v>0.11708230886313079</c:v>
                </c:pt>
                <c:pt idx="18">
                  <c:v>-0.21299254526091591</c:v>
                </c:pt>
                <c:pt idx="19">
                  <c:v>-1.1914690813773382E-2</c:v>
                </c:pt>
                <c:pt idx="20">
                  <c:v>0.3188339785925759</c:v>
                </c:pt>
                <c:pt idx="21">
                  <c:v>-0.29011669138031088</c:v>
                </c:pt>
              </c:numCache>
            </c:numRef>
          </c:val>
        </c:ser>
        <c:ser>
          <c:idx val="3"/>
          <c:order val="3"/>
          <c:tx>
            <c:strRef>
              <c:f>'Vekstimpuls besøk 2000-2013'!$I$1</c:f>
              <c:strCache>
                <c:ptCount val="1"/>
                <c:pt idx="0">
                  <c:v>Servering</c:v>
                </c:pt>
              </c:strCache>
            </c:strRef>
          </c:tx>
          <c:spPr>
            <a:solidFill>
              <a:srgbClr val="92D050"/>
            </a:solidFill>
            <a:ln>
              <a:noFill/>
            </a:ln>
            <a:effectLst/>
          </c:spPr>
          <c:cat>
            <c:strRef>
              <c:f>'Vekstimpuls besøk 2000-2013'!$E$43:$E$64</c:f>
              <c:strCache>
                <c:ptCount val="22"/>
                <c:pt idx="0">
                  <c:v>Os - 404</c:v>
                </c:pt>
                <c:pt idx="1">
                  <c:v>Stor-Elvdal - 399</c:v>
                </c:pt>
                <c:pt idx="2">
                  <c:v>Åsnes - 388</c:v>
                </c:pt>
                <c:pt idx="3">
                  <c:v>Åmot - 374</c:v>
                </c:pt>
                <c:pt idx="4">
                  <c:v>Løten - 371</c:v>
                </c:pt>
                <c:pt idx="5">
                  <c:v>Våler - 368</c:v>
                </c:pt>
                <c:pt idx="6">
                  <c:v>Alvdal - 366</c:v>
                </c:pt>
                <c:pt idx="7">
                  <c:v>Grue - 347</c:v>
                </c:pt>
                <c:pt idx="8">
                  <c:v>Engerdal - 339</c:v>
                </c:pt>
                <c:pt idx="9">
                  <c:v>Nord-Odal - 292</c:v>
                </c:pt>
                <c:pt idx="10">
                  <c:v>Tolga - 287</c:v>
                </c:pt>
                <c:pt idx="11">
                  <c:v>Eidskog - 273</c:v>
                </c:pt>
                <c:pt idx="12">
                  <c:v>Sør-Odal - 259</c:v>
                </c:pt>
                <c:pt idx="13">
                  <c:v>Trysil - 248</c:v>
                </c:pt>
                <c:pt idx="14">
                  <c:v>Hamar - 244</c:v>
                </c:pt>
                <c:pt idx="15">
                  <c:v>Folldal - 198</c:v>
                </c:pt>
                <c:pt idx="16">
                  <c:v>Rendalen - 187</c:v>
                </c:pt>
                <c:pt idx="17">
                  <c:v>Stange - 180</c:v>
                </c:pt>
                <c:pt idx="18">
                  <c:v>Tynset - 164</c:v>
                </c:pt>
                <c:pt idx="19">
                  <c:v>Kongsvinger - 157</c:v>
                </c:pt>
                <c:pt idx="20">
                  <c:v>Elverum - 118</c:v>
                </c:pt>
                <c:pt idx="21">
                  <c:v>Ringsaker - 105</c:v>
                </c:pt>
              </c:strCache>
            </c:strRef>
          </c:cat>
          <c:val>
            <c:numRef>
              <c:f>'Vekstimpuls besøk 2000-2013'!$I$43:$I$64</c:f>
              <c:numCache>
                <c:formatCode>0.0</c:formatCode>
                <c:ptCount val="22"/>
                <c:pt idx="0">
                  <c:v>9.099181073703369E-2</c:v>
                </c:pt>
                <c:pt idx="1">
                  <c:v>-0.58866813833701248</c:v>
                </c:pt>
                <c:pt idx="2">
                  <c:v>-0.32154340836012862</c:v>
                </c:pt>
                <c:pt idx="3">
                  <c:v>-0.25354969574036512</c:v>
                </c:pt>
                <c:pt idx="4">
                  <c:v>-1.4814814814814814</c:v>
                </c:pt>
                <c:pt idx="5">
                  <c:v>0.21074815595363541</c:v>
                </c:pt>
                <c:pt idx="6">
                  <c:v>0</c:v>
                </c:pt>
                <c:pt idx="7">
                  <c:v>-0.16012810248198558</c:v>
                </c:pt>
                <c:pt idx="8">
                  <c:v>0</c:v>
                </c:pt>
                <c:pt idx="9">
                  <c:v>-0.57119543043655685</c:v>
                </c:pt>
                <c:pt idx="10">
                  <c:v>0</c:v>
                </c:pt>
                <c:pt idx="11">
                  <c:v>-0.17307026652821045</c:v>
                </c:pt>
                <c:pt idx="12">
                  <c:v>0.10899182561307903</c:v>
                </c:pt>
                <c:pt idx="13">
                  <c:v>0.45857535921736481</c:v>
                </c:pt>
                <c:pt idx="14">
                  <c:v>-0.19117534602737629</c:v>
                </c:pt>
                <c:pt idx="15">
                  <c:v>0.33898305084745789</c:v>
                </c:pt>
                <c:pt idx="16">
                  <c:v>0.30959752321981443</c:v>
                </c:pt>
                <c:pt idx="17">
                  <c:v>-0.26928931038520082</c:v>
                </c:pt>
                <c:pt idx="18">
                  <c:v>-0.28399006034788793</c:v>
                </c:pt>
                <c:pt idx="19">
                  <c:v>-0.34552603359942824</c:v>
                </c:pt>
                <c:pt idx="20">
                  <c:v>1.1386927806877705E-2</c:v>
                </c:pt>
                <c:pt idx="21">
                  <c:v>9.0258526207207798E-2</c:v>
                </c:pt>
              </c:numCache>
            </c:numRef>
          </c:val>
        </c:ser>
        <c:gapWidth val="30"/>
        <c:overlap val="100"/>
        <c:axId val="249509376"/>
        <c:axId val="249510912"/>
      </c:barChart>
      <c:catAx>
        <c:axId val="249509376"/>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9510912"/>
        <c:crosses val="autoZero"/>
        <c:auto val="1"/>
        <c:lblAlgn val="ctr"/>
        <c:lblOffset val="100"/>
      </c:catAx>
      <c:valAx>
        <c:axId val="24951091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950937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b-NO"/>
  <c:pivotSource>
    <c:name>[Kvartaldata v2kv2014 rv13.xlsm]Data for Sheet1 Chart 1!PivotTable1</c:name>
    <c:fmtId val="493"/>
  </c:pivotSource>
  <c:chart>
    <c:pivotFmts>
      <c:pivotFmt>
        <c:idx val="0"/>
        <c:spPr>
          <a:solidFill>
            <a:srgbClr val="00B0F0"/>
          </a:solidFill>
        </c:spPr>
        <c:marker>
          <c:symbol val="none"/>
        </c:marker>
      </c:pivotFmt>
      <c:pivotFmt>
        <c:idx val="1"/>
        <c:spPr>
          <a:solidFill>
            <a:srgbClr val="FFC000"/>
          </a:solidFill>
        </c:spPr>
        <c:marker>
          <c:symbol val="none"/>
        </c:marker>
      </c:pivotFmt>
      <c:pivotFmt>
        <c:idx val="2"/>
        <c:spPr>
          <a:solidFill>
            <a:srgbClr val="92D050"/>
          </a:solidFill>
        </c:spPr>
        <c:marker>
          <c:symbol val="none"/>
        </c:marker>
      </c:pivotFmt>
      <c:pivotFmt>
        <c:idx val="3"/>
        <c:spPr>
          <a:solidFill>
            <a:srgbClr val="00B0F0"/>
          </a:solidFill>
        </c:spPr>
        <c:marker>
          <c:symbol val="none"/>
        </c:marker>
      </c:pivotFmt>
      <c:pivotFmt>
        <c:idx val="4"/>
        <c:spPr>
          <a:solidFill>
            <a:srgbClr val="FFC000"/>
          </a:solidFill>
        </c:spPr>
        <c:marker>
          <c:symbol val="none"/>
        </c:marker>
      </c:pivotFmt>
      <c:pivotFmt>
        <c:idx val="5"/>
        <c:spPr>
          <a:solidFill>
            <a:srgbClr val="92D050"/>
          </a:solidFill>
        </c:spPr>
        <c:marker>
          <c:symbol val="none"/>
        </c:marker>
      </c:pivotFmt>
      <c:pivotFmt>
        <c:idx val="6"/>
        <c:spPr>
          <a:solidFill>
            <a:srgbClr val="00B0F0"/>
          </a:solidFill>
        </c:spPr>
        <c:marker>
          <c:symbol val="none"/>
        </c:marker>
      </c:pivotFmt>
      <c:pivotFmt>
        <c:idx val="7"/>
        <c:spPr>
          <a:solidFill>
            <a:srgbClr val="FFC000"/>
          </a:solidFill>
        </c:spPr>
        <c:marker>
          <c:symbol val="none"/>
        </c:marker>
      </c:pivotFmt>
      <c:pivotFmt>
        <c:idx val="8"/>
        <c:spPr>
          <a:solidFill>
            <a:srgbClr val="92D050"/>
          </a:solidFill>
        </c:spPr>
        <c:marker>
          <c:symbol val="none"/>
        </c:marker>
      </c:pivotFmt>
    </c:pivotFmts>
    <c:plotArea>
      <c:layout>
        <c:manualLayout>
          <c:layoutTarget val="inner"/>
          <c:xMode val="edge"/>
          <c:yMode val="edge"/>
          <c:x val="7.5030755471954785E-2"/>
          <c:y val="0.12422211929391183"/>
          <c:w val="0.90555720954042429"/>
          <c:h val="0.78499882035328195"/>
        </c:manualLayout>
      </c:layout>
      <c:barChart>
        <c:barDir val="col"/>
        <c:grouping val="stacked"/>
        <c:ser>
          <c:idx val="0"/>
          <c:order val="0"/>
          <c:tx>
            <c:strRef>
              <c:f>'Data for Sheet1 Chart 1'!$B$1</c:f>
              <c:strCache>
                <c:ptCount val="1"/>
                <c:pt idx="0">
                  <c:v>Innenlands flytting</c:v>
                </c:pt>
              </c:strCache>
            </c:strRef>
          </c:tx>
          <c:spPr>
            <a:solidFill>
              <a:srgbClr val="00B0F0"/>
            </a:solidFill>
          </c:spPr>
          <c:cat>
            <c:strRef>
              <c:f>'Data for Sheet1 Chart 1'!$A$2:$A$61</c:f>
              <c:strCache>
                <c:ptCount val="59"/>
                <c:pt idx="0">
                  <c:v>2000K1</c:v>
                </c:pt>
                <c:pt idx="1">
                  <c:v>2000K2</c:v>
                </c:pt>
                <c:pt idx="2">
                  <c:v>2000K3</c:v>
                </c:pt>
                <c:pt idx="3">
                  <c:v>2000K4</c:v>
                </c:pt>
                <c:pt idx="4">
                  <c:v>2001K1</c:v>
                </c:pt>
                <c:pt idx="5">
                  <c:v>2001K2</c:v>
                </c:pt>
                <c:pt idx="6">
                  <c:v>2001K3</c:v>
                </c:pt>
                <c:pt idx="7">
                  <c:v>2001K4</c:v>
                </c:pt>
                <c:pt idx="8">
                  <c:v>2002K1</c:v>
                </c:pt>
                <c:pt idx="9">
                  <c:v>2002K2</c:v>
                </c:pt>
                <c:pt idx="10">
                  <c:v>2002K3</c:v>
                </c:pt>
                <c:pt idx="11">
                  <c:v>2002K4</c:v>
                </c:pt>
                <c:pt idx="12">
                  <c:v>2003K1</c:v>
                </c:pt>
                <c:pt idx="13">
                  <c:v>2003K2</c:v>
                </c:pt>
                <c:pt idx="14">
                  <c:v>2003K3</c:v>
                </c:pt>
                <c:pt idx="15">
                  <c:v>2003K4</c:v>
                </c:pt>
                <c:pt idx="16">
                  <c:v>2004K1</c:v>
                </c:pt>
                <c:pt idx="17">
                  <c:v>2004K2</c:v>
                </c:pt>
                <c:pt idx="18">
                  <c:v>2004K3</c:v>
                </c:pt>
                <c:pt idx="19">
                  <c:v>2004K4</c:v>
                </c:pt>
                <c:pt idx="20">
                  <c:v>2005K1</c:v>
                </c:pt>
                <c:pt idx="21">
                  <c:v>2005K2</c:v>
                </c:pt>
                <c:pt idx="22">
                  <c:v>2005K3</c:v>
                </c:pt>
                <c:pt idx="23">
                  <c:v>2005K4</c:v>
                </c:pt>
                <c:pt idx="24">
                  <c:v>2006K1</c:v>
                </c:pt>
                <c:pt idx="25">
                  <c:v>2006K2</c:v>
                </c:pt>
                <c:pt idx="26">
                  <c:v>2006K3</c:v>
                </c:pt>
                <c:pt idx="27">
                  <c:v>2006K4</c:v>
                </c:pt>
                <c:pt idx="28">
                  <c:v>2007K1</c:v>
                </c:pt>
                <c:pt idx="29">
                  <c:v>2007K2</c:v>
                </c:pt>
                <c:pt idx="30">
                  <c:v>2007K3</c:v>
                </c:pt>
                <c:pt idx="31">
                  <c:v>2007K4</c:v>
                </c:pt>
                <c:pt idx="32">
                  <c:v>2008K1</c:v>
                </c:pt>
                <c:pt idx="33">
                  <c:v>2008K2</c:v>
                </c:pt>
                <c:pt idx="34">
                  <c:v>2008K3</c:v>
                </c:pt>
                <c:pt idx="35">
                  <c:v>2008K4</c:v>
                </c:pt>
                <c:pt idx="36">
                  <c:v>2009K1</c:v>
                </c:pt>
                <c:pt idx="37">
                  <c:v>2009K2</c:v>
                </c:pt>
                <c:pt idx="38">
                  <c:v>2009K3</c:v>
                </c:pt>
                <c:pt idx="39">
                  <c:v>2009K4</c:v>
                </c:pt>
                <c:pt idx="40">
                  <c:v>2010K1</c:v>
                </c:pt>
                <c:pt idx="41">
                  <c:v>2010K2</c:v>
                </c:pt>
                <c:pt idx="42">
                  <c:v>2010K3</c:v>
                </c:pt>
                <c:pt idx="43">
                  <c:v>2010K4</c:v>
                </c:pt>
                <c:pt idx="44">
                  <c:v>2011K1</c:v>
                </c:pt>
                <c:pt idx="45">
                  <c:v>2011K2</c:v>
                </c:pt>
                <c:pt idx="46">
                  <c:v>2011K3</c:v>
                </c:pt>
                <c:pt idx="47">
                  <c:v>2011K4</c:v>
                </c:pt>
                <c:pt idx="48">
                  <c:v>2012K1</c:v>
                </c:pt>
                <c:pt idx="49">
                  <c:v>2012K2</c:v>
                </c:pt>
                <c:pt idx="50">
                  <c:v>2012K3</c:v>
                </c:pt>
                <c:pt idx="51">
                  <c:v>2012K4</c:v>
                </c:pt>
                <c:pt idx="52">
                  <c:v>2013K1</c:v>
                </c:pt>
                <c:pt idx="53">
                  <c:v>2013K2</c:v>
                </c:pt>
                <c:pt idx="54">
                  <c:v>2013K3</c:v>
                </c:pt>
                <c:pt idx="55">
                  <c:v>2013K4</c:v>
                </c:pt>
                <c:pt idx="56">
                  <c:v>2014K1</c:v>
                </c:pt>
                <c:pt idx="57">
                  <c:v>2014K2</c:v>
                </c:pt>
                <c:pt idx="58">
                  <c:v>2014K3</c:v>
                </c:pt>
              </c:strCache>
            </c:strRef>
          </c:cat>
          <c:val>
            <c:numRef>
              <c:f>'Data for Sheet1 Chart 1'!$B$2:$B$61</c:f>
              <c:numCache>
                <c:formatCode>General</c:formatCode>
                <c:ptCount val="59"/>
                <c:pt idx="0">
                  <c:v>0.14917580368464228</c:v>
                </c:pt>
                <c:pt idx="1">
                  <c:v>7.6348671346902319E-2</c:v>
                </c:pt>
                <c:pt idx="2">
                  <c:v>0.27706497080590592</c:v>
                </c:pt>
                <c:pt idx="3">
                  <c:v>0.27316819355917726</c:v>
                </c:pt>
                <c:pt idx="4">
                  <c:v>0.39614640678470486</c:v>
                </c:pt>
                <c:pt idx="5">
                  <c:v>0.30290641492603881</c:v>
                </c:pt>
                <c:pt idx="6">
                  <c:v>7.9709338968598276E-2</c:v>
                </c:pt>
                <c:pt idx="7">
                  <c:v>0.18726244553629387</c:v>
                </c:pt>
                <c:pt idx="8">
                  <c:v>0.11321875348008466</c:v>
                </c:pt>
                <c:pt idx="9">
                  <c:v>0.19704067216893451</c:v>
                </c:pt>
                <c:pt idx="10">
                  <c:v>6.8810325268267275E-2</c:v>
                </c:pt>
                <c:pt idx="11">
                  <c:v>0.10034004125090587</c:v>
                </c:pt>
                <c:pt idx="12">
                  <c:v>0.17132854110022724</c:v>
                </c:pt>
                <c:pt idx="13">
                  <c:v>0.26817140622381136</c:v>
                </c:pt>
                <c:pt idx="14">
                  <c:v>0.26861662438442041</c:v>
                </c:pt>
                <c:pt idx="15">
                  <c:v>4.8423444396848779E-2</c:v>
                </c:pt>
                <c:pt idx="16">
                  <c:v>1.4903129657228028E-2</c:v>
                </c:pt>
                <c:pt idx="17">
                  <c:v>-0.10054555272124679</c:v>
                </c:pt>
                <c:pt idx="18">
                  <c:v>-6.1468539283984665E-2</c:v>
                </c:pt>
                <c:pt idx="19">
                  <c:v>-8.7676752602320634E-2</c:v>
                </c:pt>
                <c:pt idx="20">
                  <c:v>-0.19042640579493691</c:v>
                </c:pt>
                <c:pt idx="21">
                  <c:v>-7.8432837214513842E-2</c:v>
                </c:pt>
                <c:pt idx="22">
                  <c:v>-0.12902501963424212</c:v>
                </c:pt>
                <c:pt idx="23">
                  <c:v>-0.132829454463818</c:v>
                </c:pt>
                <c:pt idx="24">
                  <c:v>-0.15561430151677083</c:v>
                </c:pt>
                <c:pt idx="25">
                  <c:v>-0.12184606156037944</c:v>
                </c:pt>
                <c:pt idx="26">
                  <c:v>-0.11072534484376466</c:v>
                </c:pt>
                <c:pt idx="27">
                  <c:v>-6.386055859206248E-2</c:v>
                </c:pt>
                <c:pt idx="28">
                  <c:v>6.208492465147783E-2</c:v>
                </c:pt>
                <c:pt idx="29">
                  <c:v>-0.10340289528106787</c:v>
                </c:pt>
                <c:pt idx="30">
                  <c:v>0.11863289709066943</c:v>
                </c:pt>
                <c:pt idx="31">
                  <c:v>0.24687635452198337</c:v>
                </c:pt>
                <c:pt idx="32">
                  <c:v>0.20741802274055776</c:v>
                </c:pt>
                <c:pt idx="33">
                  <c:v>0.30369909267538153</c:v>
                </c:pt>
                <c:pt idx="34">
                  <c:v>0.21845985800109241</c:v>
                </c:pt>
                <c:pt idx="35">
                  <c:v>0.13354901813257097</c:v>
                </c:pt>
                <c:pt idx="36">
                  <c:v>5.4532804302450236E-2</c:v>
                </c:pt>
                <c:pt idx="37">
                  <c:v>6.0163946754907119E-2</c:v>
                </c:pt>
                <c:pt idx="38">
                  <c:v>-5.6376141616867742E-3</c:v>
                </c:pt>
                <c:pt idx="39">
                  <c:v>-5.8301361618897173E-2</c:v>
                </c:pt>
                <c:pt idx="40">
                  <c:v>7.5372149990578499E-3</c:v>
                </c:pt>
                <c:pt idx="41">
                  <c:v>-5.2676135829178822E-2</c:v>
                </c:pt>
                <c:pt idx="42">
                  <c:v>-8.4619868745181417E-2</c:v>
                </c:pt>
                <c:pt idx="43">
                  <c:v>1.8808305747818252E-3</c:v>
                </c:pt>
                <c:pt idx="44">
                  <c:v>-3.9496699204423641E-2</c:v>
                </c:pt>
                <c:pt idx="45">
                  <c:v>3.0103480714957671E-2</c:v>
                </c:pt>
                <c:pt idx="46">
                  <c:v>-2.8220951234196261E-2</c:v>
                </c:pt>
                <c:pt idx="47">
                  <c:v>-0.15794817795494726</c:v>
                </c:pt>
                <c:pt idx="48">
                  <c:v>-0.15980147017352564</c:v>
                </c:pt>
                <c:pt idx="49">
                  <c:v>-0.13330079041736295</c:v>
                </c:pt>
                <c:pt idx="50">
                  <c:v>-1.6890940825403974E-2</c:v>
                </c:pt>
                <c:pt idx="51">
                  <c:v>9.3873796068565427E-2</c:v>
                </c:pt>
                <c:pt idx="52">
                  <c:v>0.21420921099607293</c:v>
                </c:pt>
                <c:pt idx="53">
                  <c:v>9.3884372007435699E-2</c:v>
                </c:pt>
                <c:pt idx="54">
                  <c:v>9.3815670969678768E-3</c:v>
                </c:pt>
                <c:pt idx="55">
                  <c:v>-6.5618028084516014E-2</c:v>
                </c:pt>
                <c:pt idx="56">
                  <c:v>-0.1931370710669417</c:v>
                </c:pt>
                <c:pt idx="57">
                  <c:v>-0.24945607322379773</c:v>
                </c:pt>
                <c:pt idx="58">
                  <c:v>-0.31524431434361638</c:v>
                </c:pt>
              </c:numCache>
            </c:numRef>
          </c:val>
        </c:ser>
        <c:ser>
          <c:idx val="1"/>
          <c:order val="1"/>
          <c:tx>
            <c:strRef>
              <c:f>'Data for Sheet1 Chart 1'!$C$1</c:f>
              <c:strCache>
                <c:ptCount val="1"/>
                <c:pt idx="0">
                  <c:v>Innvandring</c:v>
                </c:pt>
              </c:strCache>
            </c:strRef>
          </c:tx>
          <c:spPr>
            <a:solidFill>
              <a:srgbClr val="FFC000"/>
            </a:solidFill>
          </c:spPr>
          <c:cat>
            <c:strRef>
              <c:f>'Data for Sheet1 Chart 1'!$A$2:$A$61</c:f>
              <c:strCache>
                <c:ptCount val="59"/>
                <c:pt idx="0">
                  <c:v>2000K1</c:v>
                </c:pt>
                <c:pt idx="1">
                  <c:v>2000K2</c:v>
                </c:pt>
                <c:pt idx="2">
                  <c:v>2000K3</c:v>
                </c:pt>
                <c:pt idx="3">
                  <c:v>2000K4</c:v>
                </c:pt>
                <c:pt idx="4">
                  <c:v>2001K1</c:v>
                </c:pt>
                <c:pt idx="5">
                  <c:v>2001K2</c:v>
                </c:pt>
                <c:pt idx="6">
                  <c:v>2001K3</c:v>
                </c:pt>
                <c:pt idx="7">
                  <c:v>2001K4</c:v>
                </c:pt>
                <c:pt idx="8">
                  <c:v>2002K1</c:v>
                </c:pt>
                <c:pt idx="9">
                  <c:v>2002K2</c:v>
                </c:pt>
                <c:pt idx="10">
                  <c:v>2002K3</c:v>
                </c:pt>
                <c:pt idx="11">
                  <c:v>2002K4</c:v>
                </c:pt>
                <c:pt idx="12">
                  <c:v>2003K1</c:v>
                </c:pt>
                <c:pt idx="13">
                  <c:v>2003K2</c:v>
                </c:pt>
                <c:pt idx="14">
                  <c:v>2003K3</c:v>
                </c:pt>
                <c:pt idx="15">
                  <c:v>2003K4</c:v>
                </c:pt>
                <c:pt idx="16">
                  <c:v>2004K1</c:v>
                </c:pt>
                <c:pt idx="17">
                  <c:v>2004K2</c:v>
                </c:pt>
                <c:pt idx="18">
                  <c:v>2004K3</c:v>
                </c:pt>
                <c:pt idx="19">
                  <c:v>2004K4</c:v>
                </c:pt>
                <c:pt idx="20">
                  <c:v>2005K1</c:v>
                </c:pt>
                <c:pt idx="21">
                  <c:v>2005K2</c:v>
                </c:pt>
                <c:pt idx="22">
                  <c:v>2005K3</c:v>
                </c:pt>
                <c:pt idx="23">
                  <c:v>2005K4</c:v>
                </c:pt>
                <c:pt idx="24">
                  <c:v>2006K1</c:v>
                </c:pt>
                <c:pt idx="25">
                  <c:v>2006K2</c:v>
                </c:pt>
                <c:pt idx="26">
                  <c:v>2006K3</c:v>
                </c:pt>
                <c:pt idx="27">
                  <c:v>2006K4</c:v>
                </c:pt>
                <c:pt idx="28">
                  <c:v>2007K1</c:v>
                </c:pt>
                <c:pt idx="29">
                  <c:v>2007K2</c:v>
                </c:pt>
                <c:pt idx="30">
                  <c:v>2007K3</c:v>
                </c:pt>
                <c:pt idx="31">
                  <c:v>2007K4</c:v>
                </c:pt>
                <c:pt idx="32">
                  <c:v>2008K1</c:v>
                </c:pt>
                <c:pt idx="33">
                  <c:v>2008K2</c:v>
                </c:pt>
                <c:pt idx="34">
                  <c:v>2008K3</c:v>
                </c:pt>
                <c:pt idx="35">
                  <c:v>2008K4</c:v>
                </c:pt>
                <c:pt idx="36">
                  <c:v>2009K1</c:v>
                </c:pt>
                <c:pt idx="37">
                  <c:v>2009K2</c:v>
                </c:pt>
                <c:pt idx="38">
                  <c:v>2009K3</c:v>
                </c:pt>
                <c:pt idx="39">
                  <c:v>2009K4</c:v>
                </c:pt>
                <c:pt idx="40">
                  <c:v>2010K1</c:v>
                </c:pt>
                <c:pt idx="41">
                  <c:v>2010K2</c:v>
                </c:pt>
                <c:pt idx="42">
                  <c:v>2010K3</c:v>
                </c:pt>
                <c:pt idx="43">
                  <c:v>2010K4</c:v>
                </c:pt>
                <c:pt idx="44">
                  <c:v>2011K1</c:v>
                </c:pt>
                <c:pt idx="45">
                  <c:v>2011K2</c:v>
                </c:pt>
                <c:pt idx="46">
                  <c:v>2011K3</c:v>
                </c:pt>
                <c:pt idx="47">
                  <c:v>2011K4</c:v>
                </c:pt>
                <c:pt idx="48">
                  <c:v>2012K1</c:v>
                </c:pt>
                <c:pt idx="49">
                  <c:v>2012K2</c:v>
                </c:pt>
                <c:pt idx="50">
                  <c:v>2012K3</c:v>
                </c:pt>
                <c:pt idx="51">
                  <c:v>2012K4</c:v>
                </c:pt>
                <c:pt idx="52">
                  <c:v>2013K1</c:v>
                </c:pt>
                <c:pt idx="53">
                  <c:v>2013K2</c:v>
                </c:pt>
                <c:pt idx="54">
                  <c:v>2013K3</c:v>
                </c:pt>
                <c:pt idx="55">
                  <c:v>2013K4</c:v>
                </c:pt>
                <c:pt idx="56">
                  <c:v>2014K1</c:v>
                </c:pt>
                <c:pt idx="57">
                  <c:v>2014K2</c:v>
                </c:pt>
                <c:pt idx="58">
                  <c:v>2014K3</c:v>
                </c:pt>
              </c:strCache>
            </c:strRef>
          </c:cat>
          <c:val>
            <c:numRef>
              <c:f>'Data for Sheet1 Chart 1'!$C$2:$C$61</c:f>
              <c:numCache>
                <c:formatCode>General</c:formatCode>
                <c:ptCount val="59"/>
                <c:pt idx="0">
                  <c:v>0.37107481166554807</c:v>
                </c:pt>
                <c:pt idx="1">
                  <c:v>0.42829742462896409</c:v>
                </c:pt>
                <c:pt idx="2">
                  <c:v>0.42024619732976332</c:v>
                </c:pt>
                <c:pt idx="3">
                  <c:v>0.27502648059019197</c:v>
                </c:pt>
                <c:pt idx="4">
                  <c:v>0.15250706740068443</c:v>
                </c:pt>
                <c:pt idx="5">
                  <c:v>6.3182933174756553E-2</c:v>
                </c:pt>
                <c:pt idx="6">
                  <c:v>2.7805583361138909E-2</c:v>
                </c:pt>
                <c:pt idx="7">
                  <c:v>6.1184759432650393E-2</c:v>
                </c:pt>
                <c:pt idx="8">
                  <c:v>8.723412153383571E-2</c:v>
                </c:pt>
                <c:pt idx="9">
                  <c:v>0.17101643244850925</c:v>
                </c:pt>
                <c:pt idx="10">
                  <c:v>0.18597385207639816</c:v>
                </c:pt>
                <c:pt idx="11">
                  <c:v>0.23226861400672649</c:v>
                </c:pt>
                <c:pt idx="12">
                  <c:v>0.30727401392975556</c:v>
                </c:pt>
                <c:pt idx="13">
                  <c:v>0.24582378903849383</c:v>
                </c:pt>
                <c:pt idx="14">
                  <c:v>0.27980898373377128</c:v>
                </c:pt>
                <c:pt idx="15">
                  <c:v>0.21045573910938123</c:v>
                </c:pt>
                <c:pt idx="16">
                  <c:v>0.1415797317436662</c:v>
                </c:pt>
                <c:pt idx="17">
                  <c:v>0.16943787588210113</c:v>
                </c:pt>
                <c:pt idx="18">
                  <c:v>0.15087732369705323</c:v>
                </c:pt>
                <c:pt idx="19">
                  <c:v>0.19773905906055292</c:v>
                </c:pt>
                <c:pt idx="20">
                  <c:v>0.22403106564110223</c:v>
                </c:pt>
                <c:pt idx="21">
                  <c:v>0.20915423257203694</c:v>
                </c:pt>
                <c:pt idx="22">
                  <c:v>0.1813829986162534</c:v>
                </c:pt>
                <c:pt idx="23">
                  <c:v>0.16463369003966175</c:v>
                </c:pt>
                <c:pt idx="24">
                  <c:v>0.17623788364549947</c:v>
                </c:pt>
                <c:pt idx="25">
                  <c:v>0.17433359577100441</c:v>
                </c:pt>
                <c:pt idx="26">
                  <c:v>0.22895749272778468</c:v>
                </c:pt>
                <c:pt idx="27">
                  <c:v>0.24605097575177026</c:v>
                </c:pt>
                <c:pt idx="28">
                  <c:v>0.28220420296126281</c:v>
                </c:pt>
                <c:pt idx="29">
                  <c:v>0.30080842263583396</c:v>
                </c:pt>
                <c:pt idx="30">
                  <c:v>0.33330194896902388</c:v>
                </c:pt>
                <c:pt idx="31">
                  <c:v>0.38633322654203495</c:v>
                </c:pt>
                <c:pt idx="32">
                  <c:v>0.4204929006467672</c:v>
                </c:pt>
                <c:pt idx="33">
                  <c:v>0.41121988946107557</c:v>
                </c:pt>
                <c:pt idx="34">
                  <c:v>0.41620369498483972</c:v>
                </c:pt>
                <c:pt idx="35">
                  <c:v>0.36302761267022798</c:v>
                </c:pt>
                <c:pt idx="36">
                  <c:v>0.38549051317249311</c:v>
                </c:pt>
                <c:pt idx="37">
                  <c:v>0.44370910731744012</c:v>
                </c:pt>
                <c:pt idx="38">
                  <c:v>0.5412109595219301</c:v>
                </c:pt>
                <c:pt idx="39">
                  <c:v>0.59805912886481583</c:v>
                </c:pt>
                <c:pt idx="40">
                  <c:v>0.60674580742415729</c:v>
                </c:pt>
                <c:pt idx="41">
                  <c:v>0.55874329790236099</c:v>
                </c:pt>
                <c:pt idx="42">
                  <c:v>0.50395832941574659</c:v>
                </c:pt>
                <c:pt idx="43">
                  <c:v>0.49465844116761987</c:v>
                </c:pt>
                <c:pt idx="44">
                  <c:v>0.5360266320600352</c:v>
                </c:pt>
                <c:pt idx="45">
                  <c:v>0.63781749764816587</c:v>
                </c:pt>
                <c:pt idx="46">
                  <c:v>0.74503311258278182</c:v>
                </c:pt>
                <c:pt idx="47">
                  <c:v>0.72204881350833039</c:v>
                </c:pt>
                <c:pt idx="48">
                  <c:v>0.63356582880562506</c:v>
                </c:pt>
                <c:pt idx="49">
                  <c:v>0.55948782456864987</c:v>
                </c:pt>
                <c:pt idx="50">
                  <c:v>0.38473809657864622</c:v>
                </c:pt>
                <c:pt idx="51">
                  <c:v>0.40741227493757415</c:v>
                </c:pt>
                <c:pt idx="52">
                  <c:v>0.44532967549183572</c:v>
                </c:pt>
                <c:pt idx="53">
                  <c:v>0.44688961075539368</c:v>
                </c:pt>
                <c:pt idx="54">
                  <c:v>0.47095466826778754</c:v>
                </c:pt>
                <c:pt idx="55">
                  <c:v>0.56993944393408225</c:v>
                </c:pt>
                <c:pt idx="56">
                  <c:v>0.73317082317644877</c:v>
                </c:pt>
                <c:pt idx="57">
                  <c:v>0.7933828494260633</c:v>
                </c:pt>
                <c:pt idx="58">
                  <c:v>0.83689859641221964</c:v>
                </c:pt>
              </c:numCache>
            </c:numRef>
          </c:val>
        </c:ser>
        <c:ser>
          <c:idx val="2"/>
          <c:order val="2"/>
          <c:tx>
            <c:strRef>
              <c:f>'Data for Sheet1 Chart 1'!$D$1</c:f>
              <c:strCache>
                <c:ptCount val="1"/>
                <c:pt idx="0">
                  <c:v>Fødsel</c:v>
                </c:pt>
              </c:strCache>
            </c:strRef>
          </c:tx>
          <c:spPr>
            <a:solidFill>
              <a:srgbClr val="92D050"/>
            </a:solidFill>
          </c:spPr>
          <c:cat>
            <c:strRef>
              <c:f>'Data for Sheet1 Chart 1'!$A$2:$A$61</c:f>
              <c:strCache>
                <c:ptCount val="59"/>
                <c:pt idx="0">
                  <c:v>2000K1</c:v>
                </c:pt>
                <c:pt idx="1">
                  <c:v>2000K2</c:v>
                </c:pt>
                <c:pt idx="2">
                  <c:v>2000K3</c:v>
                </c:pt>
                <c:pt idx="3">
                  <c:v>2000K4</c:v>
                </c:pt>
                <c:pt idx="4">
                  <c:v>2001K1</c:v>
                </c:pt>
                <c:pt idx="5">
                  <c:v>2001K2</c:v>
                </c:pt>
                <c:pt idx="6">
                  <c:v>2001K3</c:v>
                </c:pt>
                <c:pt idx="7">
                  <c:v>2001K4</c:v>
                </c:pt>
                <c:pt idx="8">
                  <c:v>2002K1</c:v>
                </c:pt>
                <c:pt idx="9">
                  <c:v>2002K2</c:v>
                </c:pt>
                <c:pt idx="10">
                  <c:v>2002K3</c:v>
                </c:pt>
                <c:pt idx="11">
                  <c:v>2002K4</c:v>
                </c:pt>
                <c:pt idx="12">
                  <c:v>2003K1</c:v>
                </c:pt>
                <c:pt idx="13">
                  <c:v>2003K2</c:v>
                </c:pt>
                <c:pt idx="14">
                  <c:v>2003K3</c:v>
                </c:pt>
                <c:pt idx="15">
                  <c:v>2003K4</c:v>
                </c:pt>
                <c:pt idx="16">
                  <c:v>2004K1</c:v>
                </c:pt>
                <c:pt idx="17">
                  <c:v>2004K2</c:v>
                </c:pt>
                <c:pt idx="18">
                  <c:v>2004K3</c:v>
                </c:pt>
                <c:pt idx="19">
                  <c:v>2004K4</c:v>
                </c:pt>
                <c:pt idx="20">
                  <c:v>2005K1</c:v>
                </c:pt>
                <c:pt idx="21">
                  <c:v>2005K2</c:v>
                </c:pt>
                <c:pt idx="22">
                  <c:v>2005K3</c:v>
                </c:pt>
                <c:pt idx="23">
                  <c:v>2005K4</c:v>
                </c:pt>
                <c:pt idx="24">
                  <c:v>2006K1</c:v>
                </c:pt>
                <c:pt idx="25">
                  <c:v>2006K2</c:v>
                </c:pt>
                <c:pt idx="26">
                  <c:v>2006K3</c:v>
                </c:pt>
                <c:pt idx="27">
                  <c:v>2006K4</c:v>
                </c:pt>
                <c:pt idx="28">
                  <c:v>2007K1</c:v>
                </c:pt>
                <c:pt idx="29">
                  <c:v>2007K2</c:v>
                </c:pt>
                <c:pt idx="30">
                  <c:v>2007K3</c:v>
                </c:pt>
                <c:pt idx="31">
                  <c:v>2007K4</c:v>
                </c:pt>
                <c:pt idx="32">
                  <c:v>2008K1</c:v>
                </c:pt>
                <c:pt idx="33">
                  <c:v>2008K2</c:v>
                </c:pt>
                <c:pt idx="34">
                  <c:v>2008K3</c:v>
                </c:pt>
                <c:pt idx="35">
                  <c:v>2008K4</c:v>
                </c:pt>
                <c:pt idx="36">
                  <c:v>2009K1</c:v>
                </c:pt>
                <c:pt idx="37">
                  <c:v>2009K2</c:v>
                </c:pt>
                <c:pt idx="38">
                  <c:v>2009K3</c:v>
                </c:pt>
                <c:pt idx="39">
                  <c:v>2009K4</c:v>
                </c:pt>
                <c:pt idx="40">
                  <c:v>2010K1</c:v>
                </c:pt>
                <c:pt idx="41">
                  <c:v>2010K2</c:v>
                </c:pt>
                <c:pt idx="42">
                  <c:v>2010K3</c:v>
                </c:pt>
                <c:pt idx="43">
                  <c:v>2010K4</c:v>
                </c:pt>
                <c:pt idx="44">
                  <c:v>2011K1</c:v>
                </c:pt>
                <c:pt idx="45">
                  <c:v>2011K2</c:v>
                </c:pt>
                <c:pt idx="46">
                  <c:v>2011K3</c:v>
                </c:pt>
                <c:pt idx="47">
                  <c:v>2011K4</c:v>
                </c:pt>
                <c:pt idx="48">
                  <c:v>2012K1</c:v>
                </c:pt>
                <c:pt idx="49">
                  <c:v>2012K2</c:v>
                </c:pt>
                <c:pt idx="50">
                  <c:v>2012K3</c:v>
                </c:pt>
                <c:pt idx="51">
                  <c:v>2012K4</c:v>
                </c:pt>
                <c:pt idx="52">
                  <c:v>2013K1</c:v>
                </c:pt>
                <c:pt idx="53">
                  <c:v>2013K2</c:v>
                </c:pt>
                <c:pt idx="54">
                  <c:v>2013K3</c:v>
                </c:pt>
                <c:pt idx="55">
                  <c:v>2013K4</c:v>
                </c:pt>
                <c:pt idx="56">
                  <c:v>2014K1</c:v>
                </c:pt>
                <c:pt idx="57">
                  <c:v>2014K2</c:v>
                </c:pt>
                <c:pt idx="58">
                  <c:v>2014K3</c:v>
                </c:pt>
              </c:strCache>
            </c:strRef>
          </c:cat>
          <c:val>
            <c:numRef>
              <c:f>'Data for Sheet1 Chart 1'!$D$2:$D$61</c:f>
              <c:numCache>
                <c:formatCode>General</c:formatCode>
                <c:ptCount val="59"/>
                <c:pt idx="0">
                  <c:v>-0.31886328037592326</c:v>
                </c:pt>
                <c:pt idx="1">
                  <c:v>-0.33891361427161526</c:v>
                </c:pt>
                <c:pt idx="2">
                  <c:v>-0.43512216891665761</c:v>
                </c:pt>
                <c:pt idx="3">
                  <c:v>-0.32520023042759183</c:v>
                </c:pt>
                <c:pt idx="4">
                  <c:v>-0.34779050736497558</c:v>
                </c:pt>
                <c:pt idx="5">
                  <c:v>-0.39953913625213705</c:v>
                </c:pt>
                <c:pt idx="6">
                  <c:v>-0.43562080599117647</c:v>
                </c:pt>
                <c:pt idx="7">
                  <c:v>-0.42087698155186826</c:v>
                </c:pt>
                <c:pt idx="8">
                  <c:v>-0.48813987156167638</c:v>
                </c:pt>
                <c:pt idx="9">
                  <c:v>-0.50561380028254888</c:v>
                </c:pt>
                <c:pt idx="10">
                  <c:v>-0.51142809321009464</c:v>
                </c:pt>
                <c:pt idx="11">
                  <c:v>-0.5871750562090049</c:v>
                </c:pt>
                <c:pt idx="12">
                  <c:v>-0.53633282431375451</c:v>
                </c:pt>
                <c:pt idx="13">
                  <c:v>-0.51958209955863432</c:v>
                </c:pt>
                <c:pt idx="14">
                  <c:v>-0.42717504850022375</c:v>
                </c:pt>
                <c:pt idx="15">
                  <c:v>-0.45257296109362505</c:v>
                </c:pt>
                <c:pt idx="16">
                  <c:v>-0.40424739195230996</c:v>
                </c:pt>
                <c:pt idx="17">
                  <c:v>-0.39473439216489487</c:v>
                </c:pt>
                <c:pt idx="18">
                  <c:v>-0.50851246134932737</c:v>
                </c:pt>
                <c:pt idx="19">
                  <c:v>-0.37682348990784653</c:v>
                </c:pt>
                <c:pt idx="20">
                  <c:v>-0.43686057800014955</c:v>
                </c:pt>
                <c:pt idx="21">
                  <c:v>-0.48927150833815758</c:v>
                </c:pt>
                <c:pt idx="22">
                  <c:v>-0.39268484236508494</c:v>
                </c:pt>
                <c:pt idx="23">
                  <c:v>-0.42842176158048367</c:v>
                </c:pt>
                <c:pt idx="24">
                  <c:v>-0.36747473611189241</c:v>
                </c:pt>
                <c:pt idx="25">
                  <c:v>-0.34679263674877214</c:v>
                </c:pt>
                <c:pt idx="26">
                  <c:v>-0.45791498545556936</c:v>
                </c:pt>
                <c:pt idx="27">
                  <c:v>-0.52966698596945927</c:v>
                </c:pt>
                <c:pt idx="28">
                  <c:v>-0.58322201945327634</c:v>
                </c:pt>
                <c:pt idx="29">
                  <c:v>-0.54333521338597501</c:v>
                </c:pt>
                <c:pt idx="30">
                  <c:v>-0.47641465022125989</c:v>
                </c:pt>
                <c:pt idx="31">
                  <c:v>-0.44286979627989387</c:v>
                </c:pt>
                <c:pt idx="32">
                  <c:v>-0.35261063865894832</c:v>
                </c:pt>
                <c:pt idx="33">
                  <c:v>-0.38481127270669474</c:v>
                </c:pt>
                <c:pt idx="34">
                  <c:v>-0.41808696962278036</c:v>
                </c:pt>
                <c:pt idx="35">
                  <c:v>-0.49281468663005062</c:v>
                </c:pt>
                <c:pt idx="36">
                  <c:v>-0.65627409315707375</c:v>
                </c:pt>
                <c:pt idx="37">
                  <c:v>-0.57719786417989061</c:v>
                </c:pt>
                <c:pt idx="38">
                  <c:v>-0.6126207389032966</c:v>
                </c:pt>
                <c:pt idx="39">
                  <c:v>-0.53035432182351616</c:v>
                </c:pt>
                <c:pt idx="40">
                  <c:v>-0.41077821744865289</c:v>
                </c:pt>
                <c:pt idx="41">
                  <c:v>-0.49854199981187103</c:v>
                </c:pt>
                <c:pt idx="42">
                  <c:v>-0.45318640816863798</c:v>
                </c:pt>
                <c:pt idx="43">
                  <c:v>-0.47773096599458337</c:v>
                </c:pt>
                <c:pt idx="44">
                  <c:v>-0.46267561925181977</c:v>
                </c:pt>
                <c:pt idx="45">
                  <c:v>-0.46284101599247435</c:v>
                </c:pt>
                <c:pt idx="46">
                  <c:v>-0.47787477423239033</c:v>
                </c:pt>
                <c:pt idx="47">
                  <c:v>-0.40803279305028034</c:v>
                </c:pt>
                <c:pt idx="48">
                  <c:v>-0.41736383974732577</c:v>
                </c:pt>
                <c:pt idx="49">
                  <c:v>-0.43369693783677232</c:v>
                </c:pt>
                <c:pt idx="50">
                  <c:v>-0.33969558771090236</c:v>
                </c:pt>
                <c:pt idx="51">
                  <c:v>-0.38112761203837558</c:v>
                </c:pt>
                <c:pt idx="52">
                  <c:v>-0.47351509799131891</c:v>
                </c:pt>
                <c:pt idx="53">
                  <c:v>-0.45252267307583993</c:v>
                </c:pt>
                <c:pt idx="54">
                  <c:v>-0.5103572500750525</c:v>
                </c:pt>
                <c:pt idx="55">
                  <c:v>-0.52869382628095762</c:v>
                </c:pt>
                <c:pt idx="56">
                  <c:v>-0.43502718919932515</c:v>
                </c:pt>
                <c:pt idx="57">
                  <c:v>-0.50266336559381797</c:v>
                </c:pt>
                <c:pt idx="58">
                  <c:v>-0.54980109584928338</c:v>
                </c:pt>
              </c:numCache>
            </c:numRef>
          </c:val>
        </c:ser>
        <c:gapWidth val="50"/>
        <c:overlap val="100"/>
        <c:axId val="200180480"/>
        <c:axId val="200182016"/>
      </c:barChart>
      <c:catAx>
        <c:axId val="200180480"/>
        <c:scaling>
          <c:orientation val="minMax"/>
        </c:scaling>
        <c:axPos val="b"/>
        <c:numFmt formatCode="General" sourceLinked="0"/>
        <c:majorTickMark val="none"/>
        <c:tickLblPos val="nextTo"/>
        <c:spPr>
          <a:ln>
            <a:solidFill>
              <a:schemeClr val="accent1">
                <a:lumMod val="20000"/>
                <a:lumOff val="80000"/>
              </a:schemeClr>
            </a:solidFill>
          </a:ln>
        </c:spPr>
        <c:txPr>
          <a:bodyPr rot="5400000" vert="horz"/>
          <a:lstStyle/>
          <a:p>
            <a:pPr>
              <a:defRPr/>
            </a:pPr>
            <a:endParaRPr lang="nb-NO"/>
          </a:p>
        </c:txPr>
        <c:crossAx val="200182016"/>
        <c:crossesAt val="-9999999"/>
        <c:auto val="1"/>
        <c:lblAlgn val="ctr"/>
        <c:lblOffset val="100"/>
        <c:tickLblSkip val="4"/>
        <c:tickMarkSkip val="4"/>
        <c:noMultiLvlLbl val="1"/>
      </c:catAx>
      <c:valAx>
        <c:axId val="200182016"/>
        <c:scaling>
          <c:orientation val="minMax"/>
        </c:scaling>
        <c:axPos val="l"/>
        <c:majorGridlines>
          <c:spPr>
            <a:ln>
              <a:solidFill>
                <a:schemeClr val="accent1">
                  <a:lumMod val="20000"/>
                  <a:lumOff val="80000"/>
                </a:schemeClr>
              </a:solidFill>
            </a:ln>
          </c:spPr>
        </c:majorGridlines>
        <c:numFmt formatCode="General" sourceLinked="1"/>
        <c:tickLblPos val="nextTo"/>
        <c:spPr>
          <a:ln>
            <a:noFill/>
          </a:ln>
        </c:spPr>
        <c:crossAx val="200180480"/>
        <c:crosses val="autoZero"/>
        <c:crossBetween val="between"/>
        <c:majorUnit val="0.5"/>
      </c:valAx>
    </c:plotArea>
    <c:legend>
      <c:legendPos val="t"/>
      <c:layout>
        <c:manualLayout>
          <c:xMode val="edge"/>
          <c:yMode val="edge"/>
          <c:x val="0.10895738332109685"/>
          <c:y val="1.2678290540497818E-2"/>
          <c:w val="0.77524164269885487"/>
          <c:h val="5.9340555854857882E-2"/>
        </c:manualLayout>
      </c:layout>
    </c:legend>
    <c:plotVisOnly val="1"/>
    <c:dispBlanksAs val="gap"/>
  </c:chart>
  <c:spPr>
    <a:ln>
      <a:noFill/>
    </a:ln>
  </c:spPr>
  <c:txPr>
    <a:bodyPr/>
    <a:lstStyle/>
    <a:p>
      <a:pPr>
        <a:defRPr sz="800">
          <a:latin typeface="Arial" pitchFamily="34" charset="0"/>
          <a:cs typeface="Arial" pitchFamily="34" charset="0"/>
        </a:defRPr>
      </a:pPr>
      <a:endParaRPr lang="nb-NO"/>
    </a:p>
  </c:txPr>
  <c:externalData r:id="rId1"/>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320334958130247E-2"/>
          <c:y val="0.12711197395967283"/>
          <c:w val="0.87175903012123501"/>
          <c:h val="0.77058847931237628"/>
        </c:manualLayout>
      </c:layout>
      <c:barChart>
        <c:barDir val="col"/>
        <c:grouping val="stacked"/>
        <c:ser>
          <c:idx val="0"/>
          <c:order val="0"/>
          <c:tx>
            <c:strRef>
              <c:f>'Bransjejustert tid'!$P$17</c:f>
              <c:strCache>
                <c:ptCount val="1"/>
                <c:pt idx="0">
                  <c:v>Nasjonal vekst </c:v>
                </c:pt>
              </c:strCache>
            </c:strRef>
          </c:tx>
          <c:spPr>
            <a:solidFill>
              <a:schemeClr val="bg1">
                <a:lumMod val="50000"/>
              </a:schemeClr>
            </a:solidFill>
            <a:ln>
              <a:noFill/>
            </a:ln>
            <a:effectLst/>
          </c:spPr>
          <c:cat>
            <c:numRef>
              <c:f>'Bransjejustert tid'!$O$18:$O$28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'Bransjejustert tid'!$P$18:$P$28</c:f>
              <c:numCache>
                <c:formatCode>#,##0.0</c:formatCode>
                <c:ptCount val="11"/>
                <c:pt idx="0">
                  <c:v>7.7570728397230101E-2</c:v>
                </c:pt>
                <c:pt idx="1">
                  <c:v>0.15405508766845069</c:v>
                </c:pt>
                <c:pt idx="2">
                  <c:v>0.17630927340104732</c:v>
                </c:pt>
                <c:pt idx="3">
                  <c:v>0.28997062022576636</c:v>
                </c:pt>
                <c:pt idx="4">
                  <c:v>0.41870204303252745</c:v>
                </c:pt>
                <c:pt idx="5">
                  <c:v>0.31226420714038555</c:v>
                </c:pt>
                <c:pt idx="6">
                  <c:v>0.11667480162600209</c:v>
                </c:pt>
                <c:pt idx="7">
                  <c:v>-7.0337575487257928E-2</c:v>
                </c:pt>
                <c:pt idx="8">
                  <c:v>-2.191504670950372E-3</c:v>
                </c:pt>
                <c:pt idx="9">
                  <c:v>6.0340040823386107E-2</c:v>
                </c:pt>
                <c:pt idx="10">
                  <c:v>1.609900047185708E-2</c:v>
                </c:pt>
              </c:numCache>
            </c:numRef>
          </c:val>
        </c:ser>
        <c:ser>
          <c:idx val="1"/>
          <c:order val="1"/>
          <c:tx>
            <c:strRef>
              <c:f>'Bransjejustert tid'!$Q$17</c:f>
              <c:strCache>
                <c:ptCount val="1"/>
                <c:pt idx="0">
                  <c:v>Befolkningseffekt</c:v>
                </c:pt>
              </c:strCache>
            </c:strRef>
          </c:tx>
          <c:spPr>
            <a:solidFill>
              <a:schemeClr val="tx1"/>
            </a:solidFill>
            <a:ln>
              <a:noFill/>
            </a:ln>
            <a:effectLst/>
          </c:spPr>
          <c:cat>
            <c:numRef>
              <c:f>'Bransjejustert tid'!$O$18:$O$28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'Bransjejustert tid'!$Q$18:$Q$28</c:f>
              <c:numCache>
                <c:formatCode>#,##0.0</c:formatCode>
                <c:ptCount val="11"/>
                <c:pt idx="0">
                  <c:v>-6.8517910598035983E-2</c:v>
                </c:pt>
                <c:pt idx="1">
                  <c:v>-6.9924038677790332E-2</c:v>
                </c:pt>
                <c:pt idx="2">
                  <c:v>-8.1530659779363523E-2</c:v>
                </c:pt>
                <c:pt idx="3">
                  <c:v>-6.2404293404353738E-2</c:v>
                </c:pt>
                <c:pt idx="4">
                  <c:v>-4.3413024344218822E-2</c:v>
                </c:pt>
                <c:pt idx="5">
                  <c:v>-8.4085540751375018E-2</c:v>
                </c:pt>
                <c:pt idx="6">
                  <c:v>-0.15836069427069382</c:v>
                </c:pt>
                <c:pt idx="7">
                  <c:v>-0.22173668866208296</c:v>
                </c:pt>
                <c:pt idx="8">
                  <c:v>-0.21013297680434104</c:v>
                </c:pt>
                <c:pt idx="9">
                  <c:v>-0.18171710724925746</c:v>
                </c:pt>
                <c:pt idx="10">
                  <c:v>-0.19244969586678845</c:v>
                </c:pt>
              </c:numCache>
            </c:numRef>
          </c:val>
        </c:ser>
        <c:ser>
          <c:idx val="2"/>
          <c:order val="2"/>
          <c:tx>
            <c:strRef>
              <c:f>'Bransjejustert tid'!$R$17</c:f>
              <c:strCache>
                <c:ptCount val="1"/>
                <c:pt idx="0">
                  <c:v>Besøksoverskudd</c:v>
                </c:pt>
              </c:strCache>
            </c:strRef>
          </c:tx>
          <c:spPr>
            <a:solidFill>
              <a:srgbClr val="00B050"/>
            </a:solidFill>
            <a:ln>
              <a:noFill/>
            </a:ln>
            <a:effectLst/>
          </c:spPr>
          <c:cat>
            <c:numRef>
              <c:f>'Bransjejustert tid'!$O$18:$O$28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'Bransjejustert tid'!$R$18:$R$28</c:f>
              <c:numCache>
                <c:formatCode>#,##0.0</c:formatCode>
                <c:ptCount val="11"/>
                <c:pt idx="0">
                  <c:v>0.2994378457676265</c:v>
                </c:pt>
                <c:pt idx="1">
                  <c:v>0.13734583173931139</c:v>
                </c:pt>
                <c:pt idx="2">
                  <c:v>-6.9056320776871129E-3</c:v>
                </c:pt>
                <c:pt idx="3">
                  <c:v>-0.21945303405959476</c:v>
                </c:pt>
                <c:pt idx="4">
                  <c:v>-0.39264302675369639</c:v>
                </c:pt>
                <c:pt idx="5">
                  <c:v>-0.20204275735372293</c:v>
                </c:pt>
                <c:pt idx="6">
                  <c:v>2.3682394986980475E-2</c:v>
                </c:pt>
                <c:pt idx="7">
                  <c:v>0.23912623800438521</c:v>
                </c:pt>
                <c:pt idx="8">
                  <c:v>0.1103449373561184</c:v>
                </c:pt>
                <c:pt idx="9">
                  <c:v>-6.0904533513432564E-2</c:v>
                </c:pt>
                <c:pt idx="10">
                  <c:v>-7.9121713754493936E-2</c:v>
                </c:pt>
              </c:numCache>
            </c:numRef>
          </c:val>
        </c:ser>
        <c:gapWidth val="30"/>
        <c:overlap val="100"/>
        <c:axId val="250093952"/>
        <c:axId val="250095488"/>
      </c:barChart>
      <c:lineChart>
        <c:grouping val="standard"/>
        <c:ser>
          <c:idx val="3"/>
          <c:order val="3"/>
          <c:tx>
            <c:strRef>
              <c:f>'Bransjejustert tid'!$S$17</c:f>
              <c:strCache>
                <c:ptCount val="1"/>
                <c:pt idx="0">
                  <c:v>Arbeidsplassvekst</c:v>
                </c:pt>
              </c:strCache>
            </c:strRef>
          </c:tx>
          <c:spPr>
            <a:ln w="38100" cap="rnd">
              <a:solidFill>
                <a:srgbClr val="FF0000"/>
              </a:solidFill>
              <a:prstDash val="solid"/>
              <a:round/>
            </a:ln>
            <a:effectLst/>
          </c:spPr>
          <c:marker>
            <c:symbol val="none"/>
          </c:marker>
          <c:val>
            <c:numRef>
              <c:f>'Bransjejustert tid'!$S$18:$S$28</c:f>
              <c:numCache>
                <c:formatCode>#,##0.0</c:formatCode>
                <c:ptCount val="11"/>
                <c:pt idx="0">
                  <c:v>0.30849066356682076</c:v>
                </c:pt>
                <c:pt idx="1">
                  <c:v>0.22147688072997168</c:v>
                </c:pt>
                <c:pt idx="2">
                  <c:v>8.7872981543996656E-2</c:v>
                </c:pt>
                <c:pt idx="3">
                  <c:v>8.1132927618177055E-3</c:v>
                </c:pt>
                <c:pt idx="4">
                  <c:v>-1.7354008065387661E-2</c:v>
                </c:pt>
                <c:pt idx="5">
                  <c:v>2.6135909035287511E-2</c:v>
                </c:pt>
                <c:pt idx="6">
                  <c:v>-1.8003497657711205E-2</c:v>
                </c:pt>
                <c:pt idx="7">
                  <c:v>-5.2948026144955695E-2</c:v>
                </c:pt>
                <c:pt idx="8">
                  <c:v>-0.10197954411917297</c:v>
                </c:pt>
                <c:pt idx="9">
                  <c:v>-0.18228159993930393</c:v>
                </c:pt>
                <c:pt idx="10">
                  <c:v>-0.25547240914942537</c:v>
                </c:pt>
              </c:numCache>
            </c:numRef>
          </c:val>
          <c:smooth val="1"/>
        </c:ser>
        <c:marker val="1"/>
        <c:axId val="250093952"/>
        <c:axId val="250095488"/>
      </c:lineChart>
      <c:catAx>
        <c:axId val="250093952"/>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095488"/>
        <c:crosses val="autoZero"/>
        <c:auto val="1"/>
        <c:lblAlgn val="ctr"/>
        <c:lblOffset val="100"/>
      </c:catAx>
      <c:valAx>
        <c:axId val="250095488"/>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093952"/>
        <c:crosses val="autoZero"/>
        <c:crossBetween val="between"/>
      </c:valAx>
      <c:spPr>
        <a:noFill/>
        <a:ln>
          <a:noFill/>
        </a:ln>
        <a:effectLst/>
      </c:spPr>
    </c:plotArea>
    <c:legend>
      <c:legendPos val="t"/>
      <c:layout>
        <c:manualLayout>
          <c:xMode val="edge"/>
          <c:yMode val="edge"/>
          <c:x val="1.2006489247560965E-2"/>
          <c:y val="3.3469301271675349E-3"/>
          <c:w val="0.98164573092703022"/>
          <c:h val="0.11778242424210485"/>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63963254593166"/>
          <c:y val="1.2361198490453572E-2"/>
          <c:w val="0.67627716535433069"/>
          <c:h val="0.95622857725103994"/>
        </c:manualLayout>
      </c:layout>
      <c:barChart>
        <c:barDir val="bar"/>
        <c:grouping val="stacked"/>
        <c:ser>
          <c:idx val="0"/>
          <c:order val="0"/>
          <c:tx>
            <c:strRef>
              <c:f>'Besøk dekomp 2011-2013 rang'!$E$1</c:f>
              <c:strCache>
                <c:ptCount val="1"/>
                <c:pt idx="0">
                  <c:v>Nasjonal vekst</c:v>
                </c:pt>
              </c:strCache>
            </c:strRef>
          </c:tx>
          <c:spPr>
            <a:solidFill>
              <a:schemeClr val="bg1">
                <a:lumMod val="50000"/>
              </a:schemeClr>
            </a:solidFill>
            <a:ln>
              <a:noFill/>
            </a:ln>
            <a:effectLst/>
          </c:spPr>
          <c:cat>
            <c:strRef>
              <c:f>'Besøk dekomp 2011-2013 rang'!$D$79:$D$100</c:f>
              <c:strCache>
                <c:ptCount val="22"/>
                <c:pt idx="0">
                  <c:v>Tynset - 407</c:v>
                </c:pt>
                <c:pt idx="1">
                  <c:v>Os - 388</c:v>
                </c:pt>
                <c:pt idx="2">
                  <c:v>Våler - 370</c:v>
                </c:pt>
                <c:pt idx="3">
                  <c:v>Kongsvinger - 322</c:v>
                </c:pt>
                <c:pt idx="4">
                  <c:v>Grue - 301</c:v>
                </c:pt>
                <c:pt idx="5">
                  <c:v>Tolga - 287</c:v>
                </c:pt>
                <c:pt idx="6">
                  <c:v>Løten - 285</c:v>
                </c:pt>
                <c:pt idx="7">
                  <c:v>Folldal - 273</c:v>
                </c:pt>
                <c:pt idx="8">
                  <c:v>Hamar - 265</c:v>
                </c:pt>
                <c:pt idx="9">
                  <c:v>Åsnes - 263</c:v>
                </c:pt>
                <c:pt idx="10">
                  <c:v>Stange - 253</c:v>
                </c:pt>
                <c:pt idx="11">
                  <c:v>Elverum - 223</c:v>
                </c:pt>
                <c:pt idx="12">
                  <c:v>Stor-Elvdal - 212</c:v>
                </c:pt>
                <c:pt idx="13">
                  <c:v>Alvdal - 204</c:v>
                </c:pt>
                <c:pt idx="14">
                  <c:v>Åmot - 199</c:v>
                </c:pt>
                <c:pt idx="15">
                  <c:v>Sør-Odal - 156</c:v>
                </c:pt>
                <c:pt idx="16">
                  <c:v>Rendalen - 155</c:v>
                </c:pt>
                <c:pt idx="17">
                  <c:v>Eidskog - 141</c:v>
                </c:pt>
                <c:pt idx="18">
                  <c:v>Nord-Odal - 134</c:v>
                </c:pt>
                <c:pt idx="19">
                  <c:v>Ringsaker - 61</c:v>
                </c:pt>
                <c:pt idx="20">
                  <c:v>Trysil - 31</c:v>
                </c:pt>
                <c:pt idx="21">
                  <c:v>Engerdal - 23</c:v>
                </c:pt>
              </c:strCache>
            </c:strRef>
          </c:cat>
          <c:val>
            <c:numRef>
              <c:f>'Besøk dekomp 2011-2013 rang'!$E$79:$E$100</c:f>
              <c:numCache>
                <c:formatCode>0.0</c:formatCode>
                <c:ptCount val="22"/>
                <c:pt idx="0">
                  <c:v>8.8962394603904718E-2</c:v>
                </c:pt>
                <c:pt idx="1">
                  <c:v>1.6293358937947564E-2</c:v>
                </c:pt>
                <c:pt idx="2">
                  <c:v>2.7923091499501541E-2</c:v>
                </c:pt>
                <c:pt idx="3">
                  <c:v>6.9216718142109834E-2</c:v>
                </c:pt>
                <c:pt idx="4">
                  <c:v>4.0634349570170113E-2</c:v>
                </c:pt>
                <c:pt idx="5">
                  <c:v>3.0206065167206135E-2</c:v>
                </c:pt>
                <c:pt idx="6">
                  <c:v>2.7521450615970104E-2</c:v>
                </c:pt>
                <c:pt idx="7">
                  <c:v>3.9171767347769663E-2</c:v>
                </c:pt>
                <c:pt idx="8">
                  <c:v>7.9412409640140208E-2</c:v>
                </c:pt>
                <c:pt idx="9">
                  <c:v>4.8975043107401806E-2</c:v>
                </c:pt>
                <c:pt idx="10">
                  <c:v>3.0661177665788689E-2</c:v>
                </c:pt>
                <c:pt idx="11">
                  <c:v>6.8976069229798917E-2</c:v>
                </c:pt>
                <c:pt idx="12">
                  <c:v>4.6309538057624083E-2</c:v>
                </c:pt>
                <c:pt idx="13">
                  <c:v>3.9311182830500176E-2</c:v>
                </c:pt>
                <c:pt idx="14">
                  <c:v>5.1733546906466636E-2</c:v>
                </c:pt>
                <c:pt idx="15">
                  <c:v>3.5141696730475097E-2</c:v>
                </c:pt>
                <c:pt idx="16">
                  <c:v>4.2905495034361488E-2</c:v>
                </c:pt>
                <c:pt idx="17">
                  <c:v>3.153652745613205E-2</c:v>
                </c:pt>
                <c:pt idx="18">
                  <c:v>2.6560652944848044E-2</c:v>
                </c:pt>
                <c:pt idx="19">
                  <c:v>4.7274377614138496E-2</c:v>
                </c:pt>
                <c:pt idx="20">
                  <c:v>7.7315457576164176E-2</c:v>
                </c:pt>
                <c:pt idx="21">
                  <c:v>3.4677790344354212E-2</c:v>
                </c:pt>
              </c:numCache>
            </c:numRef>
          </c:val>
        </c:ser>
        <c:ser>
          <c:idx val="1"/>
          <c:order val="1"/>
          <c:tx>
            <c:strRef>
              <c:f>'Besøk dekomp 2011-2013 rang'!$F$1</c:f>
              <c:strCache>
                <c:ptCount val="1"/>
                <c:pt idx="0">
                  <c:v>Befolkningseffekt</c:v>
                </c:pt>
              </c:strCache>
            </c:strRef>
          </c:tx>
          <c:spPr>
            <a:solidFill>
              <a:schemeClr val="tx1"/>
            </a:solidFill>
            <a:ln>
              <a:noFill/>
            </a:ln>
            <a:effectLst/>
          </c:spPr>
          <c:cat>
            <c:strRef>
              <c:f>'Besøk dekomp 2011-2013 rang'!$D$79:$D$100</c:f>
              <c:strCache>
                <c:ptCount val="22"/>
                <c:pt idx="0">
                  <c:v>Tynset - 407</c:v>
                </c:pt>
                <c:pt idx="1">
                  <c:v>Os - 388</c:v>
                </c:pt>
                <c:pt idx="2">
                  <c:v>Våler - 370</c:v>
                </c:pt>
                <c:pt idx="3">
                  <c:v>Kongsvinger - 322</c:v>
                </c:pt>
                <c:pt idx="4">
                  <c:v>Grue - 301</c:v>
                </c:pt>
                <c:pt idx="5">
                  <c:v>Tolga - 287</c:v>
                </c:pt>
                <c:pt idx="6">
                  <c:v>Løten - 285</c:v>
                </c:pt>
                <c:pt idx="7">
                  <c:v>Folldal - 273</c:v>
                </c:pt>
                <c:pt idx="8">
                  <c:v>Hamar - 265</c:v>
                </c:pt>
                <c:pt idx="9">
                  <c:v>Åsnes - 263</c:v>
                </c:pt>
                <c:pt idx="10">
                  <c:v>Stange - 253</c:v>
                </c:pt>
                <c:pt idx="11">
                  <c:v>Elverum - 223</c:v>
                </c:pt>
                <c:pt idx="12">
                  <c:v>Stor-Elvdal - 212</c:v>
                </c:pt>
                <c:pt idx="13">
                  <c:v>Alvdal - 204</c:v>
                </c:pt>
                <c:pt idx="14">
                  <c:v>Åmot - 199</c:v>
                </c:pt>
                <c:pt idx="15">
                  <c:v>Sør-Odal - 156</c:v>
                </c:pt>
                <c:pt idx="16">
                  <c:v>Rendalen - 155</c:v>
                </c:pt>
                <c:pt idx="17">
                  <c:v>Eidskog - 141</c:v>
                </c:pt>
                <c:pt idx="18">
                  <c:v>Nord-Odal - 134</c:v>
                </c:pt>
                <c:pt idx="19">
                  <c:v>Ringsaker - 61</c:v>
                </c:pt>
                <c:pt idx="20">
                  <c:v>Trysil - 31</c:v>
                </c:pt>
                <c:pt idx="21">
                  <c:v>Engerdal - 23</c:v>
                </c:pt>
              </c:strCache>
            </c:strRef>
          </c:cat>
          <c:val>
            <c:numRef>
              <c:f>'Besøk dekomp 2011-2013 rang'!$F$79:$F$100</c:f>
              <c:numCache>
                <c:formatCode>0.0</c:formatCode>
                <c:ptCount val="22"/>
                <c:pt idx="0">
                  <c:v>-0.38501052947980668</c:v>
                </c:pt>
                <c:pt idx="1">
                  <c:v>-0.49822179105777992</c:v>
                </c:pt>
                <c:pt idx="2">
                  <c:v>-0.77494983539160189</c:v>
                </c:pt>
                <c:pt idx="3">
                  <c:v>-0.40926077340085143</c:v>
                </c:pt>
                <c:pt idx="4">
                  <c:v>-0.88280584757095348</c:v>
                </c:pt>
                <c:pt idx="5">
                  <c:v>-0.44075113980900227</c:v>
                </c:pt>
                <c:pt idx="6">
                  <c:v>-0.1368924078460805</c:v>
                </c:pt>
                <c:pt idx="7">
                  <c:v>-0.69262543942471499</c:v>
                </c:pt>
                <c:pt idx="8">
                  <c:v>-8.2629619539413862E-2</c:v>
                </c:pt>
                <c:pt idx="9">
                  <c:v>-0.65274980396074778</c:v>
                </c:pt>
                <c:pt idx="10">
                  <c:v>-0.33538859223762246</c:v>
                </c:pt>
                <c:pt idx="11">
                  <c:v>-0.2197731990800823</c:v>
                </c:pt>
                <c:pt idx="12">
                  <c:v>-0.84225643747833578</c:v>
                </c:pt>
                <c:pt idx="13">
                  <c:v>-0.48029024000868664</c:v>
                </c:pt>
                <c:pt idx="14">
                  <c:v>-0.2418015705360344</c:v>
                </c:pt>
                <c:pt idx="15">
                  <c:v>-0.54681984872804867</c:v>
                </c:pt>
                <c:pt idx="16">
                  <c:v>-1.2429173637668651</c:v>
                </c:pt>
                <c:pt idx="17">
                  <c:v>-0.7563464476206595</c:v>
                </c:pt>
                <c:pt idx="18">
                  <c:v>-0.37829121371081731</c:v>
                </c:pt>
                <c:pt idx="19">
                  <c:v>-0.17792792037441038</c:v>
                </c:pt>
                <c:pt idx="20">
                  <c:v>-0.82261768314838701</c:v>
                </c:pt>
                <c:pt idx="21">
                  <c:v>-1.216453416150548</c:v>
                </c:pt>
              </c:numCache>
            </c:numRef>
          </c:val>
        </c:ser>
        <c:ser>
          <c:idx val="2"/>
          <c:order val="2"/>
          <c:tx>
            <c:strRef>
              <c:f>'Besøk dekomp 2011-2013 rang'!$G$1</c:f>
              <c:strCache>
                <c:ptCount val="1"/>
                <c:pt idx="0">
                  <c:v>Besøksoverskudd</c:v>
                </c:pt>
              </c:strCache>
            </c:strRef>
          </c:tx>
          <c:spPr>
            <a:solidFill>
              <a:srgbClr val="00B050"/>
            </a:solidFill>
            <a:ln>
              <a:noFill/>
            </a:ln>
            <a:effectLst/>
          </c:spPr>
          <c:cat>
            <c:strRef>
              <c:f>'Besøk dekomp 2011-2013 rang'!$D$79:$D$100</c:f>
              <c:strCache>
                <c:ptCount val="22"/>
                <c:pt idx="0">
                  <c:v>Tynset - 407</c:v>
                </c:pt>
                <c:pt idx="1">
                  <c:v>Os - 388</c:v>
                </c:pt>
                <c:pt idx="2">
                  <c:v>Våler - 370</c:v>
                </c:pt>
                <c:pt idx="3">
                  <c:v>Kongsvinger - 322</c:v>
                </c:pt>
                <c:pt idx="4">
                  <c:v>Grue - 301</c:v>
                </c:pt>
                <c:pt idx="5">
                  <c:v>Tolga - 287</c:v>
                </c:pt>
                <c:pt idx="6">
                  <c:v>Løten - 285</c:v>
                </c:pt>
                <c:pt idx="7">
                  <c:v>Folldal - 273</c:v>
                </c:pt>
                <c:pt idx="8">
                  <c:v>Hamar - 265</c:v>
                </c:pt>
                <c:pt idx="9">
                  <c:v>Åsnes - 263</c:v>
                </c:pt>
                <c:pt idx="10">
                  <c:v>Stange - 253</c:v>
                </c:pt>
                <c:pt idx="11">
                  <c:v>Elverum - 223</c:v>
                </c:pt>
                <c:pt idx="12">
                  <c:v>Stor-Elvdal - 212</c:v>
                </c:pt>
                <c:pt idx="13">
                  <c:v>Alvdal - 204</c:v>
                </c:pt>
                <c:pt idx="14">
                  <c:v>Åmot - 199</c:v>
                </c:pt>
                <c:pt idx="15">
                  <c:v>Sør-Odal - 156</c:v>
                </c:pt>
                <c:pt idx="16">
                  <c:v>Rendalen - 155</c:v>
                </c:pt>
                <c:pt idx="17">
                  <c:v>Eidskog - 141</c:v>
                </c:pt>
                <c:pt idx="18">
                  <c:v>Nord-Odal - 134</c:v>
                </c:pt>
                <c:pt idx="19">
                  <c:v>Ringsaker - 61</c:v>
                </c:pt>
                <c:pt idx="20">
                  <c:v>Trysil - 31</c:v>
                </c:pt>
                <c:pt idx="21">
                  <c:v>Engerdal - 23</c:v>
                </c:pt>
              </c:strCache>
            </c:strRef>
          </c:cat>
          <c:val>
            <c:numRef>
              <c:f>'Besøk dekomp 2011-2013 rang'!$G$79:$G$100</c:f>
              <c:numCache>
                <c:formatCode>0.0</c:formatCode>
                <c:ptCount val="22"/>
                <c:pt idx="0">
                  <c:v>-1.8519232255059594</c:v>
                </c:pt>
                <c:pt idx="1">
                  <c:v>-1.3462251327796195</c:v>
                </c:pt>
                <c:pt idx="2">
                  <c:v>-1.1211051242397689</c:v>
                </c:pt>
                <c:pt idx="3">
                  <c:v>-0.69635634919019662</c:v>
                </c:pt>
                <c:pt idx="4">
                  <c:v>-0.57779407859129983</c:v>
                </c:pt>
                <c:pt idx="5">
                  <c:v>-0.47441067757059341</c:v>
                </c:pt>
                <c:pt idx="6">
                  <c:v>-0.46786928466103861</c:v>
                </c:pt>
                <c:pt idx="7">
                  <c:v>-0.40288435609206941</c:v>
                </c:pt>
                <c:pt idx="8">
                  <c:v>-0.35036457356724243</c:v>
                </c:pt>
                <c:pt idx="9">
                  <c:v>-0.32483812365042714</c:v>
                </c:pt>
                <c:pt idx="10">
                  <c:v>-0.26430844542387211</c:v>
                </c:pt>
                <c:pt idx="11">
                  <c:v>-8.0567923967240121E-2</c:v>
                </c:pt>
                <c:pt idx="12">
                  <c:v>-2.1376975465670894E-3</c:v>
                </c:pt>
                <c:pt idx="13">
                  <c:v>6.8122979624122337E-2</c:v>
                </c:pt>
                <c:pt idx="14">
                  <c:v>9.0861674423218616E-2</c:v>
                </c:pt>
                <c:pt idx="15">
                  <c:v>0.38153760020163391</c:v>
                </c:pt>
                <c:pt idx="16">
                  <c:v>0.39193106065169508</c:v>
                </c:pt>
                <c:pt idx="17">
                  <c:v>0.50975615672366681</c:v>
                </c:pt>
                <c:pt idx="18">
                  <c:v>0.56395466942471295</c:v>
                </c:pt>
                <c:pt idx="19">
                  <c:v>1.3901931593142216</c:v>
                </c:pt>
                <c:pt idx="20">
                  <c:v>1.7582810163287916</c:v>
                </c:pt>
                <c:pt idx="21">
                  <c:v>2.0526029117278179</c:v>
                </c:pt>
              </c:numCache>
            </c:numRef>
          </c:val>
        </c:ser>
        <c:gapWidth val="30"/>
        <c:overlap val="100"/>
        <c:axId val="250161024"/>
        <c:axId val="250162560"/>
      </c:barChart>
      <c:catAx>
        <c:axId val="250161024"/>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162560"/>
        <c:crosses val="autoZero"/>
        <c:auto val="1"/>
        <c:lblAlgn val="ctr"/>
        <c:lblOffset val="100"/>
      </c:catAx>
      <c:valAx>
        <c:axId val="250162560"/>
        <c:scaling>
          <c:orientation val="minMax"/>
          <c:max val="2.5"/>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161024"/>
        <c:crosses val="autoZero"/>
        <c:crossBetween val="between"/>
        <c:majorUnit val="1"/>
      </c:valAx>
      <c:spPr>
        <a:noFill/>
        <a:ln>
          <a:noFill/>
        </a:ln>
        <a:effectLst/>
      </c:spPr>
    </c:plotArea>
    <c:legend>
      <c:legendPos val="t"/>
      <c:layout>
        <c:manualLayout>
          <c:xMode val="edge"/>
          <c:yMode val="edge"/>
          <c:x val="0.66835321965122463"/>
          <c:y val="0.58589477394862077"/>
          <c:w val="0.3260136482939634"/>
          <c:h val="0.13703312359903111"/>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087091386303998"/>
          <c:y val="0.12498709487345418"/>
          <c:w val="0.60148856392950878"/>
          <c:h val="0.82071165792475531"/>
        </c:manualLayout>
      </c:layout>
      <c:barChart>
        <c:barDir val="bar"/>
        <c:grouping val="stacked"/>
        <c:ser>
          <c:idx val="0"/>
          <c:order val="0"/>
          <c:tx>
            <c:strRef>
              <c:f>'Nivå 2013'!$E$1</c:f>
              <c:strCache>
                <c:ptCount val="1"/>
                <c:pt idx="0">
                  <c:v>Agentur og Engros</c:v>
                </c:pt>
              </c:strCache>
            </c:strRef>
          </c:tx>
          <c:spPr>
            <a:solidFill>
              <a:schemeClr val="accent1"/>
            </a:solidFill>
            <a:ln>
              <a:noFill/>
            </a:ln>
            <a:effectLst/>
          </c:spPr>
          <c:cat>
            <c:strRef>
              <c:f>'Nivå 2013'!$D$79:$D$100</c:f>
              <c:strCache>
                <c:ptCount val="22"/>
                <c:pt idx="0">
                  <c:v>Løten - 405</c:v>
                </c:pt>
                <c:pt idx="1">
                  <c:v>Tolga - 380</c:v>
                </c:pt>
                <c:pt idx="2">
                  <c:v>Stange - 354</c:v>
                </c:pt>
                <c:pt idx="3">
                  <c:v>Stor-Elvdal - 327</c:v>
                </c:pt>
                <c:pt idx="4">
                  <c:v>Sør-Odal - 316</c:v>
                </c:pt>
                <c:pt idx="5">
                  <c:v>Rendalen - 306</c:v>
                </c:pt>
                <c:pt idx="6">
                  <c:v>Folldal - 305</c:v>
                </c:pt>
                <c:pt idx="7">
                  <c:v>Os - 286</c:v>
                </c:pt>
                <c:pt idx="8">
                  <c:v>Åmot - 271</c:v>
                </c:pt>
                <c:pt idx="9">
                  <c:v>Våler - 270</c:v>
                </c:pt>
                <c:pt idx="10">
                  <c:v>Nord-Odal - 259</c:v>
                </c:pt>
                <c:pt idx="11">
                  <c:v>Eidskog - 250</c:v>
                </c:pt>
                <c:pt idx="12">
                  <c:v>Trysil - 201</c:v>
                </c:pt>
                <c:pt idx="13">
                  <c:v>Grue - 198</c:v>
                </c:pt>
                <c:pt idx="14">
                  <c:v>Elverum - 195</c:v>
                </c:pt>
                <c:pt idx="15">
                  <c:v>Engerdal - 176</c:v>
                </c:pt>
                <c:pt idx="16">
                  <c:v>Ringsaker - 135</c:v>
                </c:pt>
                <c:pt idx="17">
                  <c:v>Åsnes - 128</c:v>
                </c:pt>
                <c:pt idx="18">
                  <c:v>Kongsvinger - 76</c:v>
                </c:pt>
                <c:pt idx="19">
                  <c:v>Alvdal - 72</c:v>
                </c:pt>
                <c:pt idx="20">
                  <c:v>Tynset - 55</c:v>
                </c:pt>
                <c:pt idx="21">
                  <c:v>Hamar - 5</c:v>
                </c:pt>
              </c:strCache>
            </c:strRef>
          </c:cat>
          <c:val>
            <c:numRef>
              <c:f>'Nivå 2013'!$E$79:$E$100</c:f>
              <c:numCache>
                <c:formatCode>0.0</c:formatCode>
                <c:ptCount val="22"/>
                <c:pt idx="0">
                  <c:v>0.80862533692722371</c:v>
                </c:pt>
                <c:pt idx="1">
                  <c:v>0.56947608200455579</c:v>
                </c:pt>
                <c:pt idx="2">
                  <c:v>2.4573094543940024</c:v>
                </c:pt>
                <c:pt idx="3">
                  <c:v>1.030042918454936</c:v>
                </c:pt>
                <c:pt idx="4">
                  <c:v>1.7183025253840145</c:v>
                </c:pt>
                <c:pt idx="5">
                  <c:v>0.21276595744680857</c:v>
                </c:pt>
                <c:pt idx="6">
                  <c:v>0.59737156511350054</c:v>
                </c:pt>
                <c:pt idx="7">
                  <c:v>2.8624192059095108</c:v>
                </c:pt>
                <c:pt idx="8">
                  <c:v>0.51546391752577314</c:v>
                </c:pt>
                <c:pt idx="9">
                  <c:v>0.96810933940774491</c:v>
                </c:pt>
                <c:pt idx="10">
                  <c:v>1.5463917525773192</c:v>
                </c:pt>
                <c:pt idx="11">
                  <c:v>3.4030485643388859</c:v>
                </c:pt>
                <c:pt idx="12">
                  <c:v>0.42608980662078016</c:v>
                </c:pt>
                <c:pt idx="13">
                  <c:v>4.0124832813196614</c:v>
                </c:pt>
                <c:pt idx="14">
                  <c:v>1.9298589341692796</c:v>
                </c:pt>
                <c:pt idx="15">
                  <c:v>0</c:v>
                </c:pt>
                <c:pt idx="16">
                  <c:v>5.2409129332206268</c:v>
                </c:pt>
                <c:pt idx="17">
                  <c:v>2.445571130331047</c:v>
                </c:pt>
                <c:pt idx="18">
                  <c:v>3.3180193976518626</c:v>
                </c:pt>
                <c:pt idx="19">
                  <c:v>0.61680801850424083</c:v>
                </c:pt>
                <c:pt idx="20">
                  <c:v>2.1320495185694637</c:v>
                </c:pt>
                <c:pt idx="21">
                  <c:v>4.1733102253032914</c:v>
                </c:pt>
              </c:numCache>
            </c:numRef>
          </c:val>
        </c:ser>
        <c:ser>
          <c:idx val="1"/>
          <c:order val="1"/>
          <c:tx>
            <c:strRef>
              <c:f>'Nivå 2013'!$F$1</c:f>
              <c:strCache>
                <c:ptCount val="1"/>
                <c:pt idx="0">
                  <c:v>Bygg og anlegg</c:v>
                </c:pt>
              </c:strCache>
            </c:strRef>
          </c:tx>
          <c:spPr>
            <a:solidFill>
              <a:srgbClr val="C00000"/>
            </a:solidFill>
            <a:ln>
              <a:noFill/>
            </a:ln>
            <a:effectLst/>
          </c:spPr>
          <c:cat>
            <c:strRef>
              <c:f>'Nivå 2013'!$D$79:$D$100</c:f>
              <c:strCache>
                <c:ptCount val="22"/>
                <c:pt idx="0">
                  <c:v>Løten - 405</c:v>
                </c:pt>
                <c:pt idx="1">
                  <c:v>Tolga - 380</c:v>
                </c:pt>
                <c:pt idx="2">
                  <c:v>Stange - 354</c:v>
                </c:pt>
                <c:pt idx="3">
                  <c:v>Stor-Elvdal - 327</c:v>
                </c:pt>
                <c:pt idx="4">
                  <c:v>Sør-Odal - 316</c:v>
                </c:pt>
                <c:pt idx="5">
                  <c:v>Rendalen - 306</c:v>
                </c:pt>
                <c:pt idx="6">
                  <c:v>Folldal - 305</c:v>
                </c:pt>
                <c:pt idx="7">
                  <c:v>Os - 286</c:v>
                </c:pt>
                <c:pt idx="8">
                  <c:v>Åmot - 271</c:v>
                </c:pt>
                <c:pt idx="9">
                  <c:v>Våler - 270</c:v>
                </c:pt>
                <c:pt idx="10">
                  <c:v>Nord-Odal - 259</c:v>
                </c:pt>
                <c:pt idx="11">
                  <c:v>Eidskog - 250</c:v>
                </c:pt>
                <c:pt idx="12">
                  <c:v>Trysil - 201</c:v>
                </c:pt>
                <c:pt idx="13">
                  <c:v>Grue - 198</c:v>
                </c:pt>
                <c:pt idx="14">
                  <c:v>Elverum - 195</c:v>
                </c:pt>
                <c:pt idx="15">
                  <c:v>Engerdal - 176</c:v>
                </c:pt>
                <c:pt idx="16">
                  <c:v>Ringsaker - 135</c:v>
                </c:pt>
                <c:pt idx="17">
                  <c:v>Åsnes - 128</c:v>
                </c:pt>
                <c:pt idx="18">
                  <c:v>Kongsvinger - 76</c:v>
                </c:pt>
                <c:pt idx="19">
                  <c:v>Alvdal - 72</c:v>
                </c:pt>
                <c:pt idx="20">
                  <c:v>Tynset - 55</c:v>
                </c:pt>
                <c:pt idx="21">
                  <c:v>Hamar - 5</c:v>
                </c:pt>
              </c:strCache>
            </c:strRef>
          </c:cat>
          <c:val>
            <c:numRef>
              <c:f>'Nivå 2013'!$F$79:$F$100</c:f>
              <c:numCache>
                <c:formatCode>0.0</c:formatCode>
                <c:ptCount val="22"/>
                <c:pt idx="0">
                  <c:v>6.0916442048517521</c:v>
                </c:pt>
                <c:pt idx="1">
                  <c:v>3.8724373576309796</c:v>
                </c:pt>
                <c:pt idx="2">
                  <c:v>5.414410662224074</c:v>
                </c:pt>
                <c:pt idx="3">
                  <c:v>6.0944206008583688</c:v>
                </c:pt>
                <c:pt idx="4">
                  <c:v>6.1181983858370224</c:v>
                </c:pt>
                <c:pt idx="5">
                  <c:v>5.5319148936170208</c:v>
                </c:pt>
                <c:pt idx="6">
                  <c:v>5.8542413381123062</c:v>
                </c:pt>
                <c:pt idx="7">
                  <c:v>6.9252077562326884</c:v>
                </c:pt>
                <c:pt idx="8">
                  <c:v>7.9194001874414273</c:v>
                </c:pt>
                <c:pt idx="9">
                  <c:v>4.7835990888382707</c:v>
                </c:pt>
                <c:pt idx="10">
                  <c:v>7.8178694158075599</c:v>
                </c:pt>
                <c:pt idx="11">
                  <c:v>8.2594824530308397</c:v>
                </c:pt>
                <c:pt idx="12">
                  <c:v>8.6201245493280894</c:v>
                </c:pt>
                <c:pt idx="13">
                  <c:v>4.5028979045920661</c:v>
                </c:pt>
                <c:pt idx="14">
                  <c:v>6.7887931034482794</c:v>
                </c:pt>
                <c:pt idx="15">
                  <c:v>12.153846153846157</c:v>
                </c:pt>
                <c:pt idx="16">
                  <c:v>6.5994445115324236</c:v>
                </c:pt>
                <c:pt idx="17">
                  <c:v>7.5753056963912906</c:v>
                </c:pt>
                <c:pt idx="18">
                  <c:v>7.1847881572230703</c:v>
                </c:pt>
                <c:pt idx="19">
                  <c:v>14.494988434849654</c:v>
                </c:pt>
                <c:pt idx="20">
                  <c:v>10.006877579092158</c:v>
                </c:pt>
                <c:pt idx="21">
                  <c:v>10.412478336221836</c:v>
                </c:pt>
              </c:numCache>
            </c:numRef>
          </c:val>
        </c:ser>
        <c:ser>
          <c:idx val="2"/>
          <c:order val="2"/>
          <c:tx>
            <c:strRef>
              <c:f>'Nivå 2013'!$G$1</c:f>
              <c:strCache>
                <c:ptCount val="1"/>
                <c:pt idx="0">
                  <c:v>Diverse</c:v>
                </c:pt>
              </c:strCache>
            </c:strRef>
          </c:tx>
          <c:spPr>
            <a:solidFill>
              <a:schemeClr val="accent3"/>
            </a:solidFill>
            <a:ln>
              <a:noFill/>
            </a:ln>
            <a:effectLst/>
          </c:spPr>
          <c:cat>
            <c:strRef>
              <c:f>'Nivå 2013'!$D$79:$D$100</c:f>
              <c:strCache>
                <c:ptCount val="22"/>
                <c:pt idx="0">
                  <c:v>Løten - 405</c:v>
                </c:pt>
                <c:pt idx="1">
                  <c:v>Tolga - 380</c:v>
                </c:pt>
                <c:pt idx="2">
                  <c:v>Stange - 354</c:v>
                </c:pt>
                <c:pt idx="3">
                  <c:v>Stor-Elvdal - 327</c:v>
                </c:pt>
                <c:pt idx="4">
                  <c:v>Sør-Odal - 316</c:v>
                </c:pt>
                <c:pt idx="5">
                  <c:v>Rendalen - 306</c:v>
                </c:pt>
                <c:pt idx="6">
                  <c:v>Folldal - 305</c:v>
                </c:pt>
                <c:pt idx="7">
                  <c:v>Os - 286</c:v>
                </c:pt>
                <c:pt idx="8">
                  <c:v>Åmot - 271</c:v>
                </c:pt>
                <c:pt idx="9">
                  <c:v>Våler - 270</c:v>
                </c:pt>
                <c:pt idx="10">
                  <c:v>Nord-Odal - 259</c:v>
                </c:pt>
                <c:pt idx="11">
                  <c:v>Eidskog - 250</c:v>
                </c:pt>
                <c:pt idx="12">
                  <c:v>Trysil - 201</c:v>
                </c:pt>
                <c:pt idx="13">
                  <c:v>Grue - 198</c:v>
                </c:pt>
                <c:pt idx="14">
                  <c:v>Elverum - 195</c:v>
                </c:pt>
                <c:pt idx="15">
                  <c:v>Engerdal - 176</c:v>
                </c:pt>
                <c:pt idx="16">
                  <c:v>Ringsaker - 135</c:v>
                </c:pt>
                <c:pt idx="17">
                  <c:v>Åsnes - 128</c:v>
                </c:pt>
                <c:pt idx="18">
                  <c:v>Kongsvinger - 76</c:v>
                </c:pt>
                <c:pt idx="19">
                  <c:v>Alvdal - 72</c:v>
                </c:pt>
                <c:pt idx="20">
                  <c:v>Tynset - 55</c:v>
                </c:pt>
                <c:pt idx="21">
                  <c:v>Hamar - 5</c:v>
                </c:pt>
              </c:strCache>
            </c:strRef>
          </c:cat>
          <c:val>
            <c:numRef>
              <c:f>'Nivå 2013'!$G$79:$G$100</c:f>
              <c:numCache>
                <c:formatCode>0.0</c:formatCode>
                <c:ptCount val="22"/>
                <c:pt idx="0">
                  <c:v>1.6711590296495962</c:v>
                </c:pt>
                <c:pt idx="1">
                  <c:v>2.6195899772209579</c:v>
                </c:pt>
                <c:pt idx="2">
                  <c:v>2.5510204081632644</c:v>
                </c:pt>
                <c:pt idx="3">
                  <c:v>3.6909871244635193</c:v>
                </c:pt>
                <c:pt idx="4">
                  <c:v>4.3217912002082786</c:v>
                </c:pt>
                <c:pt idx="5">
                  <c:v>4.8936170212765955</c:v>
                </c:pt>
                <c:pt idx="6">
                  <c:v>5.0179211469534035</c:v>
                </c:pt>
                <c:pt idx="7">
                  <c:v>0.554016620498615</c:v>
                </c:pt>
                <c:pt idx="8">
                  <c:v>4.5923149015932507</c:v>
                </c:pt>
                <c:pt idx="9">
                  <c:v>6.0364464692482915</c:v>
                </c:pt>
                <c:pt idx="10">
                  <c:v>1.8470790378006874</c:v>
                </c:pt>
                <c:pt idx="11">
                  <c:v>2.339595887982985</c:v>
                </c:pt>
                <c:pt idx="12">
                  <c:v>2.4254342838413643</c:v>
                </c:pt>
                <c:pt idx="13">
                  <c:v>4.6366473473027199</c:v>
                </c:pt>
                <c:pt idx="14">
                  <c:v>5.1332288401253905</c:v>
                </c:pt>
                <c:pt idx="15">
                  <c:v>2.3076923076923088</c:v>
                </c:pt>
                <c:pt idx="16">
                  <c:v>4.1238980799420357</c:v>
                </c:pt>
                <c:pt idx="17">
                  <c:v>5.2192066805845529</c:v>
                </c:pt>
                <c:pt idx="18">
                  <c:v>5.1812149055640653</c:v>
                </c:pt>
                <c:pt idx="19">
                  <c:v>1.5420200462606015</c:v>
                </c:pt>
                <c:pt idx="20">
                  <c:v>4.2297111416781314</c:v>
                </c:pt>
                <c:pt idx="21">
                  <c:v>9.7261698440207969</c:v>
                </c:pt>
              </c:numCache>
            </c:numRef>
          </c:val>
        </c:ser>
        <c:ser>
          <c:idx val="3"/>
          <c:order val="3"/>
          <c:tx>
            <c:strRef>
              <c:f>'Nivå 2013'!$H$1</c:f>
              <c:strCache>
                <c:ptCount val="1"/>
                <c:pt idx="0">
                  <c:v>Finans, eiendom, utleie</c:v>
                </c:pt>
              </c:strCache>
            </c:strRef>
          </c:tx>
          <c:spPr>
            <a:solidFill>
              <a:schemeClr val="accent4"/>
            </a:solidFill>
            <a:ln>
              <a:noFill/>
            </a:ln>
            <a:effectLst/>
          </c:spPr>
          <c:cat>
            <c:strRef>
              <c:f>'Nivå 2013'!$D$79:$D$100</c:f>
              <c:strCache>
                <c:ptCount val="22"/>
                <c:pt idx="0">
                  <c:v>Løten - 405</c:v>
                </c:pt>
                <c:pt idx="1">
                  <c:v>Tolga - 380</c:v>
                </c:pt>
                <c:pt idx="2">
                  <c:v>Stange - 354</c:v>
                </c:pt>
                <c:pt idx="3">
                  <c:v>Stor-Elvdal - 327</c:v>
                </c:pt>
                <c:pt idx="4">
                  <c:v>Sør-Odal - 316</c:v>
                </c:pt>
                <c:pt idx="5">
                  <c:v>Rendalen - 306</c:v>
                </c:pt>
                <c:pt idx="6">
                  <c:v>Folldal - 305</c:v>
                </c:pt>
                <c:pt idx="7">
                  <c:v>Os - 286</c:v>
                </c:pt>
                <c:pt idx="8">
                  <c:v>Åmot - 271</c:v>
                </c:pt>
                <c:pt idx="9">
                  <c:v>Våler - 270</c:v>
                </c:pt>
                <c:pt idx="10">
                  <c:v>Nord-Odal - 259</c:v>
                </c:pt>
                <c:pt idx="11">
                  <c:v>Eidskog - 250</c:v>
                </c:pt>
                <c:pt idx="12">
                  <c:v>Trysil - 201</c:v>
                </c:pt>
                <c:pt idx="13">
                  <c:v>Grue - 198</c:v>
                </c:pt>
                <c:pt idx="14">
                  <c:v>Elverum - 195</c:v>
                </c:pt>
                <c:pt idx="15">
                  <c:v>Engerdal - 176</c:v>
                </c:pt>
                <c:pt idx="16">
                  <c:v>Ringsaker - 135</c:v>
                </c:pt>
                <c:pt idx="17">
                  <c:v>Åsnes - 128</c:v>
                </c:pt>
                <c:pt idx="18">
                  <c:v>Kongsvinger - 76</c:v>
                </c:pt>
                <c:pt idx="19">
                  <c:v>Alvdal - 72</c:v>
                </c:pt>
                <c:pt idx="20">
                  <c:v>Tynset - 55</c:v>
                </c:pt>
                <c:pt idx="21">
                  <c:v>Hamar - 5</c:v>
                </c:pt>
              </c:strCache>
            </c:strRef>
          </c:cat>
          <c:val>
            <c:numRef>
              <c:f>'Nivå 2013'!$H$79:$H$100</c:f>
              <c:numCache>
                <c:formatCode>0.0</c:formatCode>
                <c:ptCount val="22"/>
                <c:pt idx="0">
                  <c:v>0.59299191374663052</c:v>
                </c:pt>
                <c:pt idx="1">
                  <c:v>2.5056947608200462</c:v>
                </c:pt>
                <c:pt idx="2">
                  <c:v>0.8538109121199503</c:v>
                </c:pt>
                <c:pt idx="3">
                  <c:v>1.5450643776824025</c:v>
                </c:pt>
                <c:pt idx="4">
                  <c:v>1.1455350169226759</c:v>
                </c:pt>
                <c:pt idx="5">
                  <c:v>0.85106382978723361</c:v>
                </c:pt>
                <c:pt idx="6">
                  <c:v>0.23894862604540029</c:v>
                </c:pt>
                <c:pt idx="7">
                  <c:v>0.92336103416435833</c:v>
                </c:pt>
                <c:pt idx="8">
                  <c:v>1.1715089034676665</c:v>
                </c:pt>
                <c:pt idx="9">
                  <c:v>1.1958997722095668</c:v>
                </c:pt>
                <c:pt idx="10">
                  <c:v>1.6323024054982824</c:v>
                </c:pt>
                <c:pt idx="11">
                  <c:v>1.2406947890818858</c:v>
                </c:pt>
                <c:pt idx="12">
                  <c:v>2.8187479514913152</c:v>
                </c:pt>
                <c:pt idx="13">
                  <c:v>2.7195720017833258</c:v>
                </c:pt>
                <c:pt idx="14">
                  <c:v>1.900470219435737</c:v>
                </c:pt>
                <c:pt idx="15">
                  <c:v>1.5384615384615385</c:v>
                </c:pt>
                <c:pt idx="16">
                  <c:v>2.4695085134645574</c:v>
                </c:pt>
                <c:pt idx="17">
                  <c:v>1.163137488815986</c:v>
                </c:pt>
                <c:pt idx="18">
                  <c:v>2.5778458397141382</c:v>
                </c:pt>
                <c:pt idx="19">
                  <c:v>2.2359290670778731</c:v>
                </c:pt>
                <c:pt idx="20">
                  <c:v>1.4099037138927093</c:v>
                </c:pt>
                <c:pt idx="21">
                  <c:v>7.4176776429809363</c:v>
                </c:pt>
              </c:numCache>
            </c:numRef>
          </c:val>
        </c:ser>
        <c:ser>
          <c:idx val="4"/>
          <c:order val="4"/>
          <c:tx>
            <c:strRef>
              <c:f>'Nivå 2013'!$I$1</c:f>
              <c:strCache>
                <c:ptCount val="1"/>
                <c:pt idx="0">
                  <c:v>Forr tjenesteyting</c:v>
                </c:pt>
              </c:strCache>
            </c:strRef>
          </c:tx>
          <c:spPr>
            <a:solidFill>
              <a:schemeClr val="accent5"/>
            </a:solidFill>
            <a:ln>
              <a:noFill/>
            </a:ln>
            <a:effectLst/>
          </c:spPr>
          <c:cat>
            <c:strRef>
              <c:f>'Nivå 2013'!$D$79:$D$100</c:f>
              <c:strCache>
                <c:ptCount val="22"/>
                <c:pt idx="0">
                  <c:v>Løten - 405</c:v>
                </c:pt>
                <c:pt idx="1">
                  <c:v>Tolga - 380</c:v>
                </c:pt>
                <c:pt idx="2">
                  <c:v>Stange - 354</c:v>
                </c:pt>
                <c:pt idx="3">
                  <c:v>Stor-Elvdal - 327</c:v>
                </c:pt>
                <c:pt idx="4">
                  <c:v>Sør-Odal - 316</c:v>
                </c:pt>
                <c:pt idx="5">
                  <c:v>Rendalen - 306</c:v>
                </c:pt>
                <c:pt idx="6">
                  <c:v>Folldal - 305</c:v>
                </c:pt>
                <c:pt idx="7">
                  <c:v>Os - 286</c:v>
                </c:pt>
                <c:pt idx="8">
                  <c:v>Åmot - 271</c:v>
                </c:pt>
                <c:pt idx="9">
                  <c:v>Våler - 270</c:v>
                </c:pt>
                <c:pt idx="10">
                  <c:v>Nord-Odal - 259</c:v>
                </c:pt>
                <c:pt idx="11">
                  <c:v>Eidskog - 250</c:v>
                </c:pt>
                <c:pt idx="12">
                  <c:v>Trysil - 201</c:v>
                </c:pt>
                <c:pt idx="13">
                  <c:v>Grue - 198</c:v>
                </c:pt>
                <c:pt idx="14">
                  <c:v>Elverum - 195</c:v>
                </c:pt>
                <c:pt idx="15">
                  <c:v>Engerdal - 176</c:v>
                </c:pt>
                <c:pt idx="16">
                  <c:v>Ringsaker - 135</c:v>
                </c:pt>
                <c:pt idx="17">
                  <c:v>Åsnes - 128</c:v>
                </c:pt>
                <c:pt idx="18">
                  <c:v>Kongsvinger - 76</c:v>
                </c:pt>
                <c:pt idx="19">
                  <c:v>Alvdal - 72</c:v>
                </c:pt>
                <c:pt idx="20">
                  <c:v>Tynset - 55</c:v>
                </c:pt>
                <c:pt idx="21">
                  <c:v>Hamar - 5</c:v>
                </c:pt>
              </c:strCache>
            </c:strRef>
          </c:cat>
          <c:val>
            <c:numRef>
              <c:f>'Nivå 2013'!$I$79:$I$100</c:f>
              <c:numCache>
                <c:formatCode>0.0</c:formatCode>
                <c:ptCount val="22"/>
                <c:pt idx="0">
                  <c:v>0.9703504043126685</c:v>
                </c:pt>
                <c:pt idx="1">
                  <c:v>2.8473804100227791</c:v>
                </c:pt>
                <c:pt idx="2">
                  <c:v>0.9683465222823826</c:v>
                </c:pt>
                <c:pt idx="3">
                  <c:v>0.6008583690987126</c:v>
                </c:pt>
                <c:pt idx="4">
                  <c:v>0.93725592293673521</c:v>
                </c:pt>
                <c:pt idx="5">
                  <c:v>2.6595744680851072</c:v>
                </c:pt>
                <c:pt idx="6">
                  <c:v>1.0752688172043008</c:v>
                </c:pt>
                <c:pt idx="7">
                  <c:v>1.6620498614958459</c:v>
                </c:pt>
                <c:pt idx="8">
                  <c:v>1.12464854732896</c:v>
                </c:pt>
                <c:pt idx="9">
                  <c:v>1.3667425968109341</c:v>
                </c:pt>
                <c:pt idx="10">
                  <c:v>0.90206185567010322</c:v>
                </c:pt>
                <c:pt idx="11">
                  <c:v>1.9142148174406242</c:v>
                </c:pt>
                <c:pt idx="12">
                  <c:v>2.2287774500163891</c:v>
                </c:pt>
                <c:pt idx="13">
                  <c:v>3.3883192153366037</c:v>
                </c:pt>
                <c:pt idx="14">
                  <c:v>3.5658307210031346</c:v>
                </c:pt>
                <c:pt idx="15">
                  <c:v>3.6923076923076934</c:v>
                </c:pt>
                <c:pt idx="16">
                  <c:v>2.1917642796763688</c:v>
                </c:pt>
                <c:pt idx="17">
                  <c:v>3.7578288100208765</c:v>
                </c:pt>
                <c:pt idx="18">
                  <c:v>4.0199081163859089</c:v>
                </c:pt>
                <c:pt idx="19">
                  <c:v>1.6191210485736314</c:v>
                </c:pt>
                <c:pt idx="20">
                  <c:v>3.8170563961485549</c:v>
                </c:pt>
                <c:pt idx="21">
                  <c:v>7.1542461005199298</c:v>
                </c:pt>
              </c:numCache>
            </c:numRef>
          </c:val>
        </c:ser>
        <c:ser>
          <c:idx val="5"/>
          <c:order val="5"/>
          <c:tx>
            <c:strRef>
              <c:f>'Nivå 2013'!$J$1</c:f>
              <c:strCache>
                <c:ptCount val="1"/>
                <c:pt idx="0">
                  <c:v>Transport</c:v>
                </c:pt>
              </c:strCache>
            </c:strRef>
          </c:tx>
          <c:spPr>
            <a:solidFill>
              <a:schemeClr val="accent6"/>
            </a:solidFill>
            <a:ln>
              <a:noFill/>
            </a:ln>
            <a:effectLst/>
          </c:spPr>
          <c:cat>
            <c:strRef>
              <c:f>'Nivå 2013'!$D$79:$D$100</c:f>
              <c:strCache>
                <c:ptCount val="22"/>
                <c:pt idx="0">
                  <c:v>Løten - 405</c:v>
                </c:pt>
                <c:pt idx="1">
                  <c:v>Tolga - 380</c:v>
                </c:pt>
                <c:pt idx="2">
                  <c:v>Stange - 354</c:v>
                </c:pt>
                <c:pt idx="3">
                  <c:v>Stor-Elvdal - 327</c:v>
                </c:pt>
                <c:pt idx="4">
                  <c:v>Sør-Odal - 316</c:v>
                </c:pt>
                <c:pt idx="5">
                  <c:v>Rendalen - 306</c:v>
                </c:pt>
                <c:pt idx="6">
                  <c:v>Folldal - 305</c:v>
                </c:pt>
                <c:pt idx="7">
                  <c:v>Os - 286</c:v>
                </c:pt>
                <c:pt idx="8">
                  <c:v>Åmot - 271</c:v>
                </c:pt>
                <c:pt idx="9">
                  <c:v>Våler - 270</c:v>
                </c:pt>
                <c:pt idx="10">
                  <c:v>Nord-Odal - 259</c:v>
                </c:pt>
                <c:pt idx="11">
                  <c:v>Eidskog - 250</c:v>
                </c:pt>
                <c:pt idx="12">
                  <c:v>Trysil - 201</c:v>
                </c:pt>
                <c:pt idx="13">
                  <c:v>Grue - 198</c:v>
                </c:pt>
                <c:pt idx="14">
                  <c:v>Elverum - 195</c:v>
                </c:pt>
                <c:pt idx="15">
                  <c:v>Engerdal - 176</c:v>
                </c:pt>
                <c:pt idx="16">
                  <c:v>Ringsaker - 135</c:v>
                </c:pt>
                <c:pt idx="17">
                  <c:v>Åsnes - 128</c:v>
                </c:pt>
                <c:pt idx="18">
                  <c:v>Kongsvinger - 76</c:v>
                </c:pt>
                <c:pt idx="19">
                  <c:v>Alvdal - 72</c:v>
                </c:pt>
                <c:pt idx="20">
                  <c:v>Tynset - 55</c:v>
                </c:pt>
                <c:pt idx="21">
                  <c:v>Hamar - 5</c:v>
                </c:pt>
              </c:strCache>
            </c:strRef>
          </c:cat>
          <c:val>
            <c:numRef>
              <c:f>'Nivå 2013'!$J$79:$J$100</c:f>
              <c:numCache>
                <c:formatCode>0.0</c:formatCode>
                <c:ptCount val="22"/>
                <c:pt idx="0">
                  <c:v>0.5121293800539084</c:v>
                </c:pt>
                <c:pt idx="1">
                  <c:v>0.34168564920273348</c:v>
                </c:pt>
                <c:pt idx="2">
                  <c:v>1.7700957934194081</c:v>
                </c:pt>
                <c:pt idx="3">
                  <c:v>2.6609442060085842</c:v>
                </c:pt>
                <c:pt idx="4">
                  <c:v>2.0827909398594113</c:v>
                </c:pt>
                <c:pt idx="5">
                  <c:v>2.4468085106382969</c:v>
                </c:pt>
                <c:pt idx="6">
                  <c:v>3.9426523297491021</c:v>
                </c:pt>
                <c:pt idx="7">
                  <c:v>1.10803324099723</c:v>
                </c:pt>
                <c:pt idx="8">
                  <c:v>2.9053420805998127</c:v>
                </c:pt>
                <c:pt idx="9">
                  <c:v>3.8154897494305238</c:v>
                </c:pt>
                <c:pt idx="10">
                  <c:v>4.8539518900343666</c:v>
                </c:pt>
                <c:pt idx="11">
                  <c:v>1.9496632399858205</c:v>
                </c:pt>
                <c:pt idx="12">
                  <c:v>3.8348082595870197</c:v>
                </c:pt>
                <c:pt idx="13">
                  <c:v>2.0062416406598307</c:v>
                </c:pt>
                <c:pt idx="14">
                  <c:v>2.2335423197492164</c:v>
                </c:pt>
                <c:pt idx="15">
                  <c:v>3.0769230769230771</c:v>
                </c:pt>
                <c:pt idx="16">
                  <c:v>3.610675039246467</c:v>
                </c:pt>
                <c:pt idx="17">
                  <c:v>3.1016999701759618</c:v>
                </c:pt>
                <c:pt idx="18">
                  <c:v>4.5941807044410394</c:v>
                </c:pt>
                <c:pt idx="19">
                  <c:v>5.0886661526599868</c:v>
                </c:pt>
                <c:pt idx="20">
                  <c:v>3.8514442916093539</c:v>
                </c:pt>
                <c:pt idx="21">
                  <c:v>4.0554592720970515</c:v>
                </c:pt>
              </c:numCache>
            </c:numRef>
          </c:val>
        </c:ser>
        <c:ser>
          <c:idx val="6"/>
          <c:order val="6"/>
          <c:tx>
            <c:strRef>
              <c:f>'Nivå 2013'!$K$1</c:f>
              <c:strCache>
                <c:ptCount val="1"/>
                <c:pt idx="0">
                  <c:v>Utleie av arbeidskraft</c:v>
                </c:pt>
              </c:strCache>
            </c:strRef>
          </c:tx>
          <c:spPr>
            <a:solidFill>
              <a:schemeClr val="accent1">
                <a:lumMod val="60000"/>
              </a:schemeClr>
            </a:solidFill>
            <a:ln>
              <a:noFill/>
            </a:ln>
            <a:effectLst/>
          </c:spPr>
          <c:cat>
            <c:strRef>
              <c:f>'Nivå 2013'!$D$79:$D$100</c:f>
              <c:strCache>
                <c:ptCount val="22"/>
                <c:pt idx="0">
                  <c:v>Løten - 405</c:v>
                </c:pt>
                <c:pt idx="1">
                  <c:v>Tolga - 380</c:v>
                </c:pt>
                <c:pt idx="2">
                  <c:v>Stange - 354</c:v>
                </c:pt>
                <c:pt idx="3">
                  <c:v>Stor-Elvdal - 327</c:v>
                </c:pt>
                <c:pt idx="4">
                  <c:v>Sør-Odal - 316</c:v>
                </c:pt>
                <c:pt idx="5">
                  <c:v>Rendalen - 306</c:v>
                </c:pt>
                <c:pt idx="6">
                  <c:v>Folldal - 305</c:v>
                </c:pt>
                <c:pt idx="7">
                  <c:v>Os - 286</c:v>
                </c:pt>
                <c:pt idx="8">
                  <c:v>Åmot - 271</c:v>
                </c:pt>
                <c:pt idx="9">
                  <c:v>Våler - 270</c:v>
                </c:pt>
                <c:pt idx="10">
                  <c:v>Nord-Odal - 259</c:v>
                </c:pt>
                <c:pt idx="11">
                  <c:v>Eidskog - 250</c:v>
                </c:pt>
                <c:pt idx="12">
                  <c:v>Trysil - 201</c:v>
                </c:pt>
                <c:pt idx="13">
                  <c:v>Grue - 198</c:v>
                </c:pt>
                <c:pt idx="14">
                  <c:v>Elverum - 195</c:v>
                </c:pt>
                <c:pt idx="15">
                  <c:v>Engerdal - 176</c:v>
                </c:pt>
                <c:pt idx="16">
                  <c:v>Ringsaker - 135</c:v>
                </c:pt>
                <c:pt idx="17">
                  <c:v>Åsnes - 128</c:v>
                </c:pt>
                <c:pt idx="18">
                  <c:v>Kongsvinger - 76</c:v>
                </c:pt>
                <c:pt idx="19">
                  <c:v>Alvdal - 72</c:v>
                </c:pt>
                <c:pt idx="20">
                  <c:v>Tynset - 55</c:v>
                </c:pt>
                <c:pt idx="21">
                  <c:v>Hamar - 5</c:v>
                </c:pt>
              </c:strCache>
            </c:strRef>
          </c:cat>
          <c:val>
            <c:numRef>
              <c:f>'Nivå 2013'!$K$79:$K$100</c:f>
              <c:numCache>
                <c:formatCode>0.0</c:formatCode>
                <c:ptCount val="22"/>
                <c:pt idx="0">
                  <c:v>5.3908355795148251E-2</c:v>
                </c:pt>
                <c:pt idx="1">
                  <c:v>0.11389521640091119</c:v>
                </c:pt>
                <c:pt idx="2">
                  <c:v>0.39566847147022094</c:v>
                </c:pt>
                <c:pt idx="3">
                  <c:v>0.17167381974248927</c:v>
                </c:pt>
                <c:pt idx="4">
                  <c:v>7.8104660244727939E-2</c:v>
                </c:pt>
                <c:pt idx="5">
                  <c:v>0.10638297872340426</c:v>
                </c:pt>
                <c:pt idx="6">
                  <c:v>0</c:v>
                </c:pt>
                <c:pt idx="7">
                  <c:v>3.6011080332409975</c:v>
                </c:pt>
                <c:pt idx="8">
                  <c:v>4.6860356138706684E-2</c:v>
                </c:pt>
                <c:pt idx="9">
                  <c:v>0.11389521640091119</c:v>
                </c:pt>
                <c:pt idx="10">
                  <c:v>0</c:v>
                </c:pt>
                <c:pt idx="11">
                  <c:v>7.0896845090393484E-2</c:v>
                </c:pt>
                <c:pt idx="12">
                  <c:v>0.98328416912487682</c:v>
                </c:pt>
                <c:pt idx="13">
                  <c:v>0.13374944271065542</c:v>
                </c:pt>
                <c:pt idx="14">
                  <c:v>6.8573667711598771E-2</c:v>
                </c:pt>
                <c:pt idx="15">
                  <c:v>0</c:v>
                </c:pt>
                <c:pt idx="16">
                  <c:v>0.33812341504649207</c:v>
                </c:pt>
                <c:pt idx="17">
                  <c:v>1.640322099612288</c:v>
                </c:pt>
                <c:pt idx="18">
                  <c:v>2.1694742215416039</c:v>
                </c:pt>
                <c:pt idx="19">
                  <c:v>3.5466461063993822</c:v>
                </c:pt>
                <c:pt idx="20">
                  <c:v>5.2269601100412677</c:v>
                </c:pt>
                <c:pt idx="21">
                  <c:v>5.3240901213171563</c:v>
                </c:pt>
              </c:numCache>
            </c:numRef>
          </c:val>
        </c:ser>
        <c:gapWidth val="30"/>
        <c:overlap val="100"/>
        <c:axId val="248885248"/>
        <c:axId val="248886784"/>
      </c:barChart>
      <c:catAx>
        <c:axId val="2488852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8886784"/>
        <c:crosses val="autoZero"/>
        <c:auto val="1"/>
        <c:lblAlgn val="ctr"/>
        <c:lblOffset val="100"/>
      </c:catAx>
      <c:valAx>
        <c:axId val="248886784"/>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48885248"/>
        <c:crosses val="autoZero"/>
        <c:crossBetween val="between"/>
      </c:valAx>
      <c:spPr>
        <a:noFill/>
        <a:ln>
          <a:noFill/>
        </a:ln>
        <a:effectLst/>
      </c:spPr>
    </c:plotArea>
    <c:legend>
      <c:legendPos val="t"/>
      <c:layout>
        <c:manualLayout>
          <c:xMode val="edge"/>
          <c:yMode val="edge"/>
          <c:x val="1.1281280434880055E-2"/>
          <c:y val="2.756719802983532E-3"/>
          <c:w val="0.97420293723334472"/>
          <c:h val="0.11696627544198494"/>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75323437524505"/>
          <c:y val="0.1726970476896014"/>
          <c:w val="0.60491084885688262"/>
          <c:h val="0.75623926010218689"/>
        </c:manualLayout>
      </c:layout>
      <c:barChart>
        <c:barDir val="bar"/>
        <c:grouping val="stacked"/>
        <c:ser>
          <c:idx val="0"/>
          <c:order val="0"/>
          <c:tx>
            <c:strRef>
              <c:f>'Vekstimpuls 2000-2013'!$E$1</c:f>
              <c:strCache>
                <c:ptCount val="1"/>
                <c:pt idx="0">
                  <c:v>Agentur og Engros</c:v>
                </c:pt>
              </c:strCache>
            </c:strRef>
          </c:tx>
          <c:spPr>
            <a:solidFill>
              <a:schemeClr val="accent1"/>
            </a:solidFill>
            <a:ln>
              <a:noFill/>
            </a:ln>
            <a:effectLst/>
          </c:spPr>
          <c:cat>
            <c:strRef>
              <c:f>'Vekstimpuls 2000-2013'!$D$79:$D$100</c:f>
              <c:strCache>
                <c:ptCount val="22"/>
                <c:pt idx="0">
                  <c:v>Stor-Elvdal - 409</c:v>
                </c:pt>
                <c:pt idx="1">
                  <c:v>Folldal - 369</c:v>
                </c:pt>
                <c:pt idx="2">
                  <c:v>Tolga - 363</c:v>
                </c:pt>
                <c:pt idx="3">
                  <c:v>Løten - 342</c:v>
                </c:pt>
                <c:pt idx="4">
                  <c:v>Sør-Odal - 340</c:v>
                </c:pt>
                <c:pt idx="5">
                  <c:v>Tynset - 330</c:v>
                </c:pt>
                <c:pt idx="6">
                  <c:v>Trysil - 310</c:v>
                </c:pt>
                <c:pt idx="7">
                  <c:v>Ringsaker - 287</c:v>
                </c:pt>
                <c:pt idx="8">
                  <c:v>Engerdal - 273</c:v>
                </c:pt>
                <c:pt idx="9">
                  <c:v>Os - 267</c:v>
                </c:pt>
                <c:pt idx="10">
                  <c:v>Grue - 255</c:v>
                </c:pt>
                <c:pt idx="11">
                  <c:v>Kongsvinger - 250</c:v>
                </c:pt>
                <c:pt idx="12">
                  <c:v>Nord-Odal - 246</c:v>
                </c:pt>
                <c:pt idx="13">
                  <c:v>Våler - 245</c:v>
                </c:pt>
                <c:pt idx="14">
                  <c:v>Elverum - 244</c:v>
                </c:pt>
                <c:pt idx="15">
                  <c:v>Stange - 241</c:v>
                </c:pt>
                <c:pt idx="16">
                  <c:v>Åmot - 206</c:v>
                </c:pt>
                <c:pt idx="17">
                  <c:v>Rendalen - 163</c:v>
                </c:pt>
                <c:pt idx="18">
                  <c:v>Åsnes - 140</c:v>
                </c:pt>
                <c:pt idx="19">
                  <c:v>Hamar - 121</c:v>
                </c:pt>
                <c:pt idx="20">
                  <c:v>Eidskog - 98</c:v>
                </c:pt>
                <c:pt idx="21">
                  <c:v>Alvdal - 23</c:v>
                </c:pt>
              </c:strCache>
            </c:strRef>
          </c:cat>
          <c:val>
            <c:numRef>
              <c:f>'Vekstimpuls 2000-2013'!$E$79:$E$100</c:f>
              <c:numCache>
                <c:formatCode>0.0</c:formatCode>
                <c:ptCount val="22"/>
                <c:pt idx="0">
                  <c:v>-1.545253863134658</c:v>
                </c:pt>
                <c:pt idx="1">
                  <c:v>-0.11299435028248592</c:v>
                </c:pt>
                <c:pt idx="2">
                  <c:v>0.23121387283237008</c:v>
                </c:pt>
                <c:pt idx="3">
                  <c:v>-1.5407407407407407</c:v>
                </c:pt>
                <c:pt idx="4">
                  <c:v>-1.0899182561307899</c:v>
                </c:pt>
                <c:pt idx="5">
                  <c:v>-0.63897763578274769</c:v>
                </c:pt>
                <c:pt idx="6">
                  <c:v>-0.24457352491592785</c:v>
                </c:pt>
                <c:pt idx="7">
                  <c:v>1.1669138031074722</c:v>
                </c:pt>
                <c:pt idx="8">
                  <c:v>0</c:v>
                </c:pt>
                <c:pt idx="9">
                  <c:v>9.0991810737033718E-2</c:v>
                </c:pt>
                <c:pt idx="10">
                  <c:v>1.1208967173738986</c:v>
                </c:pt>
                <c:pt idx="11">
                  <c:v>0.25020850708924125</c:v>
                </c:pt>
                <c:pt idx="12">
                  <c:v>0.44879640962872286</c:v>
                </c:pt>
                <c:pt idx="13">
                  <c:v>0.42149631190727094</c:v>
                </c:pt>
                <c:pt idx="14">
                  <c:v>0.23912548394443187</c:v>
                </c:pt>
                <c:pt idx="15">
                  <c:v>7.0249385317878457E-2</c:v>
                </c:pt>
                <c:pt idx="16">
                  <c:v>0.25354969574036512</c:v>
                </c:pt>
                <c:pt idx="17">
                  <c:v>0</c:v>
                </c:pt>
                <c:pt idx="18">
                  <c:v>0.72347266881028938</c:v>
                </c:pt>
                <c:pt idx="19">
                  <c:v>-0.11470520761642579</c:v>
                </c:pt>
                <c:pt idx="20">
                  <c:v>2.0768431983385236</c:v>
                </c:pt>
                <c:pt idx="21">
                  <c:v>0.24469820554649277</c:v>
                </c:pt>
              </c:numCache>
            </c:numRef>
          </c:val>
        </c:ser>
        <c:ser>
          <c:idx val="1"/>
          <c:order val="1"/>
          <c:tx>
            <c:strRef>
              <c:f>'Vekstimpuls 2000-2013'!$F$1</c:f>
              <c:strCache>
                <c:ptCount val="1"/>
                <c:pt idx="0">
                  <c:v>Bygg og anlegg</c:v>
                </c:pt>
              </c:strCache>
            </c:strRef>
          </c:tx>
          <c:spPr>
            <a:solidFill>
              <a:srgbClr val="C00000"/>
            </a:solidFill>
            <a:ln>
              <a:noFill/>
            </a:ln>
            <a:effectLst/>
          </c:spPr>
          <c:cat>
            <c:strRef>
              <c:f>'Vekstimpuls 2000-2013'!$D$79:$D$100</c:f>
              <c:strCache>
                <c:ptCount val="22"/>
                <c:pt idx="0">
                  <c:v>Stor-Elvdal - 409</c:v>
                </c:pt>
                <c:pt idx="1">
                  <c:v>Folldal - 369</c:v>
                </c:pt>
                <c:pt idx="2">
                  <c:v>Tolga - 363</c:v>
                </c:pt>
                <c:pt idx="3">
                  <c:v>Løten - 342</c:v>
                </c:pt>
                <c:pt idx="4">
                  <c:v>Sør-Odal - 340</c:v>
                </c:pt>
                <c:pt idx="5">
                  <c:v>Tynset - 330</c:v>
                </c:pt>
                <c:pt idx="6">
                  <c:v>Trysil - 310</c:v>
                </c:pt>
                <c:pt idx="7">
                  <c:v>Ringsaker - 287</c:v>
                </c:pt>
                <c:pt idx="8">
                  <c:v>Engerdal - 273</c:v>
                </c:pt>
                <c:pt idx="9">
                  <c:v>Os - 267</c:v>
                </c:pt>
                <c:pt idx="10">
                  <c:v>Grue - 255</c:v>
                </c:pt>
                <c:pt idx="11">
                  <c:v>Kongsvinger - 250</c:v>
                </c:pt>
                <c:pt idx="12">
                  <c:v>Nord-Odal - 246</c:v>
                </c:pt>
                <c:pt idx="13">
                  <c:v>Våler - 245</c:v>
                </c:pt>
                <c:pt idx="14">
                  <c:v>Elverum - 244</c:v>
                </c:pt>
                <c:pt idx="15">
                  <c:v>Stange - 241</c:v>
                </c:pt>
                <c:pt idx="16">
                  <c:v>Åmot - 206</c:v>
                </c:pt>
                <c:pt idx="17">
                  <c:v>Rendalen - 163</c:v>
                </c:pt>
                <c:pt idx="18">
                  <c:v>Åsnes - 140</c:v>
                </c:pt>
                <c:pt idx="19">
                  <c:v>Hamar - 121</c:v>
                </c:pt>
                <c:pt idx="20">
                  <c:v>Eidskog - 98</c:v>
                </c:pt>
                <c:pt idx="21">
                  <c:v>Alvdal - 23</c:v>
                </c:pt>
              </c:strCache>
            </c:strRef>
          </c:cat>
          <c:val>
            <c:numRef>
              <c:f>'Vekstimpuls 2000-2013'!$F$79:$F$100</c:f>
              <c:numCache>
                <c:formatCode>0.0</c:formatCode>
                <c:ptCount val="22"/>
                <c:pt idx="0">
                  <c:v>1.7660044150110374</c:v>
                </c:pt>
                <c:pt idx="1">
                  <c:v>-1.1299435028248588</c:v>
                </c:pt>
                <c:pt idx="2">
                  <c:v>0.34682080924855513</c:v>
                </c:pt>
                <c:pt idx="3">
                  <c:v>3.6444444444444448</c:v>
                </c:pt>
                <c:pt idx="4">
                  <c:v>0.7629427792915533</c:v>
                </c:pt>
                <c:pt idx="5">
                  <c:v>4.5083422080227189</c:v>
                </c:pt>
                <c:pt idx="6">
                  <c:v>1.3451543870376028</c:v>
                </c:pt>
                <c:pt idx="7">
                  <c:v>7.0917413448520428E-2</c:v>
                </c:pt>
                <c:pt idx="8">
                  <c:v>2.316076294277928</c:v>
                </c:pt>
                <c:pt idx="9">
                  <c:v>2.5477707006369448</c:v>
                </c:pt>
                <c:pt idx="10">
                  <c:v>-0.96076861489191345</c:v>
                </c:pt>
                <c:pt idx="11">
                  <c:v>1.2391278446324319</c:v>
                </c:pt>
                <c:pt idx="12">
                  <c:v>0.89759281925744572</c:v>
                </c:pt>
                <c:pt idx="13">
                  <c:v>5.2687038988408874E-2</c:v>
                </c:pt>
                <c:pt idx="14">
                  <c:v>1.4689136870872235</c:v>
                </c:pt>
                <c:pt idx="15">
                  <c:v>2.0489404051047879</c:v>
                </c:pt>
                <c:pt idx="16">
                  <c:v>4.0060851926977694</c:v>
                </c:pt>
                <c:pt idx="17">
                  <c:v>1.0319917440660471</c:v>
                </c:pt>
                <c:pt idx="18">
                  <c:v>1.6881028938906759</c:v>
                </c:pt>
                <c:pt idx="19">
                  <c:v>4.0376233080981896</c:v>
                </c:pt>
                <c:pt idx="20">
                  <c:v>3.3229491173416399</c:v>
                </c:pt>
                <c:pt idx="21">
                  <c:v>9.7063621533442088</c:v>
                </c:pt>
              </c:numCache>
            </c:numRef>
          </c:val>
        </c:ser>
        <c:ser>
          <c:idx val="2"/>
          <c:order val="2"/>
          <c:tx>
            <c:strRef>
              <c:f>'Vekstimpuls 2000-2013'!$G$1</c:f>
              <c:strCache>
                <c:ptCount val="1"/>
                <c:pt idx="0">
                  <c:v>Diverse</c:v>
                </c:pt>
              </c:strCache>
            </c:strRef>
          </c:tx>
          <c:spPr>
            <a:solidFill>
              <a:schemeClr val="accent3"/>
            </a:solidFill>
            <a:ln>
              <a:noFill/>
            </a:ln>
            <a:effectLst/>
          </c:spPr>
          <c:cat>
            <c:strRef>
              <c:f>'Vekstimpuls 2000-2013'!$D$79:$D$100</c:f>
              <c:strCache>
                <c:ptCount val="22"/>
                <c:pt idx="0">
                  <c:v>Stor-Elvdal - 409</c:v>
                </c:pt>
                <c:pt idx="1">
                  <c:v>Folldal - 369</c:v>
                </c:pt>
                <c:pt idx="2">
                  <c:v>Tolga - 363</c:v>
                </c:pt>
                <c:pt idx="3">
                  <c:v>Løten - 342</c:v>
                </c:pt>
                <c:pt idx="4">
                  <c:v>Sør-Odal - 340</c:v>
                </c:pt>
                <c:pt idx="5">
                  <c:v>Tynset - 330</c:v>
                </c:pt>
                <c:pt idx="6">
                  <c:v>Trysil - 310</c:v>
                </c:pt>
                <c:pt idx="7">
                  <c:v>Ringsaker - 287</c:v>
                </c:pt>
                <c:pt idx="8">
                  <c:v>Engerdal - 273</c:v>
                </c:pt>
                <c:pt idx="9">
                  <c:v>Os - 267</c:v>
                </c:pt>
                <c:pt idx="10">
                  <c:v>Grue - 255</c:v>
                </c:pt>
                <c:pt idx="11">
                  <c:v>Kongsvinger - 250</c:v>
                </c:pt>
                <c:pt idx="12">
                  <c:v>Nord-Odal - 246</c:v>
                </c:pt>
                <c:pt idx="13">
                  <c:v>Våler - 245</c:v>
                </c:pt>
                <c:pt idx="14">
                  <c:v>Elverum - 244</c:v>
                </c:pt>
                <c:pt idx="15">
                  <c:v>Stange - 241</c:v>
                </c:pt>
                <c:pt idx="16">
                  <c:v>Åmot - 206</c:v>
                </c:pt>
                <c:pt idx="17">
                  <c:v>Rendalen - 163</c:v>
                </c:pt>
                <c:pt idx="18">
                  <c:v>Åsnes - 140</c:v>
                </c:pt>
                <c:pt idx="19">
                  <c:v>Hamar - 121</c:v>
                </c:pt>
                <c:pt idx="20">
                  <c:v>Eidskog - 98</c:v>
                </c:pt>
                <c:pt idx="21">
                  <c:v>Alvdal - 23</c:v>
                </c:pt>
              </c:strCache>
            </c:strRef>
          </c:cat>
          <c:val>
            <c:numRef>
              <c:f>'Vekstimpuls 2000-2013'!$G$79:$G$100</c:f>
              <c:numCache>
                <c:formatCode>0.0</c:formatCode>
                <c:ptCount val="22"/>
                <c:pt idx="0">
                  <c:v>0.66225165562913957</c:v>
                </c:pt>
                <c:pt idx="1">
                  <c:v>-1.2429378531073443</c:v>
                </c:pt>
                <c:pt idx="2">
                  <c:v>1.0404624277456647</c:v>
                </c:pt>
                <c:pt idx="3">
                  <c:v>-0.35555555555555557</c:v>
                </c:pt>
                <c:pt idx="4">
                  <c:v>2.7247956403269771</c:v>
                </c:pt>
                <c:pt idx="5">
                  <c:v>2.0589279375221872</c:v>
                </c:pt>
                <c:pt idx="6">
                  <c:v>0.24457352491592785</c:v>
                </c:pt>
                <c:pt idx="7">
                  <c:v>0.88969118689961968</c:v>
                </c:pt>
                <c:pt idx="8">
                  <c:v>0.68119891008174382</c:v>
                </c:pt>
                <c:pt idx="9">
                  <c:v>-9.0991810737033718E-2</c:v>
                </c:pt>
                <c:pt idx="10">
                  <c:v>1.0808646917534024</c:v>
                </c:pt>
                <c:pt idx="11">
                  <c:v>1.1318956273084708</c:v>
                </c:pt>
                <c:pt idx="12">
                  <c:v>0.85679314565483489</c:v>
                </c:pt>
                <c:pt idx="13">
                  <c:v>3.1612223393045307</c:v>
                </c:pt>
                <c:pt idx="14">
                  <c:v>-0.26189933955818706</c:v>
                </c:pt>
                <c:pt idx="15">
                  <c:v>0.45662100456620991</c:v>
                </c:pt>
                <c:pt idx="16">
                  <c:v>1.4198782961460437</c:v>
                </c:pt>
                <c:pt idx="17">
                  <c:v>2.8895768833849331</c:v>
                </c:pt>
                <c:pt idx="18">
                  <c:v>0.93783494105037524</c:v>
                </c:pt>
                <c:pt idx="19">
                  <c:v>-0.19882235986847141</c:v>
                </c:pt>
                <c:pt idx="20">
                  <c:v>0.65766701280720008</c:v>
                </c:pt>
                <c:pt idx="21">
                  <c:v>0.24469820554649277</c:v>
                </c:pt>
              </c:numCache>
            </c:numRef>
          </c:val>
        </c:ser>
        <c:ser>
          <c:idx val="3"/>
          <c:order val="3"/>
          <c:tx>
            <c:strRef>
              <c:f>'Vekstimpuls 2000-2013'!$H$1</c:f>
              <c:strCache>
                <c:ptCount val="1"/>
                <c:pt idx="0">
                  <c:v>Finans, eiendom</c:v>
                </c:pt>
              </c:strCache>
            </c:strRef>
          </c:tx>
          <c:spPr>
            <a:solidFill>
              <a:schemeClr val="accent4"/>
            </a:solidFill>
            <a:ln>
              <a:noFill/>
            </a:ln>
            <a:effectLst/>
          </c:spPr>
          <c:cat>
            <c:strRef>
              <c:f>'Vekstimpuls 2000-2013'!$D$79:$D$100</c:f>
              <c:strCache>
                <c:ptCount val="22"/>
                <c:pt idx="0">
                  <c:v>Stor-Elvdal - 409</c:v>
                </c:pt>
                <c:pt idx="1">
                  <c:v>Folldal - 369</c:v>
                </c:pt>
                <c:pt idx="2">
                  <c:v>Tolga - 363</c:v>
                </c:pt>
                <c:pt idx="3">
                  <c:v>Løten - 342</c:v>
                </c:pt>
                <c:pt idx="4">
                  <c:v>Sør-Odal - 340</c:v>
                </c:pt>
                <c:pt idx="5">
                  <c:v>Tynset - 330</c:v>
                </c:pt>
                <c:pt idx="6">
                  <c:v>Trysil - 310</c:v>
                </c:pt>
                <c:pt idx="7">
                  <c:v>Ringsaker - 287</c:v>
                </c:pt>
                <c:pt idx="8">
                  <c:v>Engerdal - 273</c:v>
                </c:pt>
                <c:pt idx="9">
                  <c:v>Os - 267</c:v>
                </c:pt>
                <c:pt idx="10">
                  <c:v>Grue - 255</c:v>
                </c:pt>
                <c:pt idx="11">
                  <c:v>Kongsvinger - 250</c:v>
                </c:pt>
                <c:pt idx="12">
                  <c:v>Nord-Odal - 246</c:v>
                </c:pt>
                <c:pt idx="13">
                  <c:v>Våler - 245</c:v>
                </c:pt>
                <c:pt idx="14">
                  <c:v>Elverum - 244</c:v>
                </c:pt>
                <c:pt idx="15">
                  <c:v>Stange - 241</c:v>
                </c:pt>
                <c:pt idx="16">
                  <c:v>Åmot - 206</c:v>
                </c:pt>
                <c:pt idx="17">
                  <c:v>Rendalen - 163</c:v>
                </c:pt>
                <c:pt idx="18">
                  <c:v>Åsnes - 140</c:v>
                </c:pt>
                <c:pt idx="19">
                  <c:v>Hamar - 121</c:v>
                </c:pt>
                <c:pt idx="20">
                  <c:v>Eidskog - 98</c:v>
                </c:pt>
                <c:pt idx="21">
                  <c:v>Alvdal - 23</c:v>
                </c:pt>
              </c:strCache>
            </c:strRef>
          </c:cat>
          <c:val>
            <c:numRef>
              <c:f>'Vekstimpuls 2000-2013'!$H$79:$H$100</c:f>
              <c:numCache>
                <c:formatCode>0.0</c:formatCode>
                <c:ptCount val="22"/>
                <c:pt idx="0">
                  <c:v>-0.51508462104488595</c:v>
                </c:pt>
                <c:pt idx="1">
                  <c:v>-0.90395480225988745</c:v>
                </c:pt>
                <c:pt idx="2">
                  <c:v>1.0404624277456647</c:v>
                </c:pt>
                <c:pt idx="3">
                  <c:v>-0.44444444444444442</c:v>
                </c:pt>
                <c:pt idx="4">
                  <c:v>0.10899182561307905</c:v>
                </c:pt>
                <c:pt idx="5">
                  <c:v>-0.63897763578274769</c:v>
                </c:pt>
                <c:pt idx="6">
                  <c:v>0.30571690614490993</c:v>
                </c:pt>
                <c:pt idx="7">
                  <c:v>0.80587969827864114</c:v>
                </c:pt>
                <c:pt idx="8">
                  <c:v>0.68119891008174382</c:v>
                </c:pt>
                <c:pt idx="9">
                  <c:v>-0.36396724294813471</c:v>
                </c:pt>
                <c:pt idx="10">
                  <c:v>0.80064051240992806</c:v>
                </c:pt>
                <c:pt idx="11">
                  <c:v>-2.3829381627546772E-2</c:v>
                </c:pt>
                <c:pt idx="12">
                  <c:v>0.36719706242350064</c:v>
                </c:pt>
                <c:pt idx="13">
                  <c:v>0</c:v>
                </c:pt>
                <c:pt idx="14">
                  <c:v>0.64905488499202912</c:v>
                </c:pt>
                <c:pt idx="15">
                  <c:v>9.3665847090504684E-2</c:v>
                </c:pt>
                <c:pt idx="16">
                  <c:v>-0.35496957403651125</c:v>
                </c:pt>
                <c:pt idx="17">
                  <c:v>0</c:v>
                </c:pt>
                <c:pt idx="18">
                  <c:v>-0.34833869239013937</c:v>
                </c:pt>
                <c:pt idx="19">
                  <c:v>2.9670413703448797</c:v>
                </c:pt>
                <c:pt idx="20">
                  <c:v>0.83073727933541042</c:v>
                </c:pt>
                <c:pt idx="21">
                  <c:v>1.7128874388254487</c:v>
                </c:pt>
              </c:numCache>
            </c:numRef>
          </c:val>
        </c:ser>
        <c:ser>
          <c:idx val="4"/>
          <c:order val="4"/>
          <c:tx>
            <c:strRef>
              <c:f>'Vekstimpuls 2000-2013'!$I$1</c:f>
              <c:strCache>
                <c:ptCount val="1"/>
                <c:pt idx="0">
                  <c:v>Forr. tjenesteyting</c:v>
                </c:pt>
              </c:strCache>
            </c:strRef>
          </c:tx>
          <c:spPr>
            <a:solidFill>
              <a:schemeClr val="accent5"/>
            </a:solidFill>
            <a:ln>
              <a:noFill/>
            </a:ln>
            <a:effectLst/>
          </c:spPr>
          <c:cat>
            <c:strRef>
              <c:f>'Vekstimpuls 2000-2013'!$D$79:$D$100</c:f>
              <c:strCache>
                <c:ptCount val="22"/>
                <c:pt idx="0">
                  <c:v>Stor-Elvdal - 409</c:v>
                </c:pt>
                <c:pt idx="1">
                  <c:v>Folldal - 369</c:v>
                </c:pt>
                <c:pt idx="2">
                  <c:v>Tolga - 363</c:v>
                </c:pt>
                <c:pt idx="3">
                  <c:v>Løten - 342</c:v>
                </c:pt>
                <c:pt idx="4">
                  <c:v>Sør-Odal - 340</c:v>
                </c:pt>
                <c:pt idx="5">
                  <c:v>Tynset - 330</c:v>
                </c:pt>
                <c:pt idx="6">
                  <c:v>Trysil - 310</c:v>
                </c:pt>
                <c:pt idx="7">
                  <c:v>Ringsaker - 287</c:v>
                </c:pt>
                <c:pt idx="8">
                  <c:v>Engerdal - 273</c:v>
                </c:pt>
                <c:pt idx="9">
                  <c:v>Os - 267</c:v>
                </c:pt>
                <c:pt idx="10">
                  <c:v>Grue - 255</c:v>
                </c:pt>
                <c:pt idx="11">
                  <c:v>Kongsvinger - 250</c:v>
                </c:pt>
                <c:pt idx="12">
                  <c:v>Nord-Odal - 246</c:v>
                </c:pt>
                <c:pt idx="13">
                  <c:v>Våler - 245</c:v>
                </c:pt>
                <c:pt idx="14">
                  <c:v>Elverum - 244</c:v>
                </c:pt>
                <c:pt idx="15">
                  <c:v>Stange - 241</c:v>
                </c:pt>
                <c:pt idx="16">
                  <c:v>Åmot - 206</c:v>
                </c:pt>
                <c:pt idx="17">
                  <c:v>Rendalen - 163</c:v>
                </c:pt>
                <c:pt idx="18">
                  <c:v>Åsnes - 140</c:v>
                </c:pt>
                <c:pt idx="19">
                  <c:v>Hamar - 121</c:v>
                </c:pt>
                <c:pt idx="20">
                  <c:v>Eidskog - 98</c:v>
                </c:pt>
                <c:pt idx="21">
                  <c:v>Alvdal - 23</c:v>
                </c:pt>
              </c:strCache>
            </c:strRef>
          </c:cat>
          <c:val>
            <c:numRef>
              <c:f>'Vekstimpuls 2000-2013'!$I$79:$I$100</c:f>
              <c:numCache>
                <c:formatCode>0.0</c:formatCode>
                <c:ptCount val="22"/>
                <c:pt idx="0">
                  <c:v>-1.2509197939661516</c:v>
                </c:pt>
                <c:pt idx="1">
                  <c:v>0</c:v>
                </c:pt>
                <c:pt idx="2">
                  <c:v>1.2716763005780343</c:v>
                </c:pt>
                <c:pt idx="3">
                  <c:v>0.26666666666666677</c:v>
                </c:pt>
                <c:pt idx="4">
                  <c:v>-0.27247956403269763</c:v>
                </c:pt>
                <c:pt idx="5">
                  <c:v>-3.1948881789137378</c:v>
                </c:pt>
                <c:pt idx="6">
                  <c:v>1.0700091715071844</c:v>
                </c:pt>
                <c:pt idx="7">
                  <c:v>-0.18696409000064476</c:v>
                </c:pt>
                <c:pt idx="8">
                  <c:v>-0.13623978201634881</c:v>
                </c:pt>
                <c:pt idx="9">
                  <c:v>1.3648771610555059</c:v>
                </c:pt>
                <c:pt idx="10">
                  <c:v>1.0408326661329064</c:v>
                </c:pt>
                <c:pt idx="11">
                  <c:v>0.6791373763850832</c:v>
                </c:pt>
                <c:pt idx="12">
                  <c:v>-8.1599347205222411E-2</c:v>
                </c:pt>
                <c:pt idx="13">
                  <c:v>0.36880927291886217</c:v>
                </c:pt>
                <c:pt idx="14">
                  <c:v>1.708039171031656</c:v>
                </c:pt>
                <c:pt idx="15">
                  <c:v>0.62053623697459348</c:v>
                </c:pt>
                <c:pt idx="16">
                  <c:v>-0.91277890466531464</c:v>
                </c:pt>
                <c:pt idx="17">
                  <c:v>1.4447884416924659</c:v>
                </c:pt>
                <c:pt idx="18">
                  <c:v>2.197213290460879</c:v>
                </c:pt>
                <c:pt idx="19">
                  <c:v>1.9117534602737642</c:v>
                </c:pt>
                <c:pt idx="20">
                  <c:v>0.69228106611284179</c:v>
                </c:pt>
                <c:pt idx="21">
                  <c:v>1.2234910277324624</c:v>
                </c:pt>
              </c:numCache>
            </c:numRef>
          </c:val>
        </c:ser>
        <c:ser>
          <c:idx val="5"/>
          <c:order val="5"/>
          <c:tx>
            <c:strRef>
              <c:f>'Vekstimpuls 2000-2013'!$J$1</c:f>
              <c:strCache>
                <c:ptCount val="1"/>
                <c:pt idx="0">
                  <c:v>Transport</c:v>
                </c:pt>
              </c:strCache>
            </c:strRef>
          </c:tx>
          <c:spPr>
            <a:solidFill>
              <a:schemeClr val="accent6"/>
            </a:solidFill>
            <a:ln>
              <a:noFill/>
            </a:ln>
            <a:effectLst/>
          </c:spPr>
          <c:cat>
            <c:strRef>
              <c:f>'Vekstimpuls 2000-2013'!$D$79:$D$100</c:f>
              <c:strCache>
                <c:ptCount val="22"/>
                <c:pt idx="0">
                  <c:v>Stor-Elvdal - 409</c:v>
                </c:pt>
                <c:pt idx="1">
                  <c:v>Folldal - 369</c:v>
                </c:pt>
                <c:pt idx="2">
                  <c:v>Tolga - 363</c:v>
                </c:pt>
                <c:pt idx="3">
                  <c:v>Løten - 342</c:v>
                </c:pt>
                <c:pt idx="4">
                  <c:v>Sør-Odal - 340</c:v>
                </c:pt>
                <c:pt idx="5">
                  <c:v>Tynset - 330</c:v>
                </c:pt>
                <c:pt idx="6">
                  <c:v>Trysil - 310</c:v>
                </c:pt>
                <c:pt idx="7">
                  <c:v>Ringsaker - 287</c:v>
                </c:pt>
                <c:pt idx="8">
                  <c:v>Engerdal - 273</c:v>
                </c:pt>
                <c:pt idx="9">
                  <c:v>Os - 267</c:v>
                </c:pt>
                <c:pt idx="10">
                  <c:v>Grue - 255</c:v>
                </c:pt>
                <c:pt idx="11">
                  <c:v>Kongsvinger - 250</c:v>
                </c:pt>
                <c:pt idx="12">
                  <c:v>Nord-Odal - 246</c:v>
                </c:pt>
                <c:pt idx="13">
                  <c:v>Våler - 245</c:v>
                </c:pt>
                <c:pt idx="14">
                  <c:v>Elverum - 244</c:v>
                </c:pt>
                <c:pt idx="15">
                  <c:v>Stange - 241</c:v>
                </c:pt>
                <c:pt idx="16">
                  <c:v>Åmot - 206</c:v>
                </c:pt>
                <c:pt idx="17">
                  <c:v>Rendalen - 163</c:v>
                </c:pt>
                <c:pt idx="18">
                  <c:v>Åsnes - 140</c:v>
                </c:pt>
                <c:pt idx="19">
                  <c:v>Hamar - 121</c:v>
                </c:pt>
                <c:pt idx="20">
                  <c:v>Eidskog - 98</c:v>
                </c:pt>
                <c:pt idx="21">
                  <c:v>Alvdal - 23</c:v>
                </c:pt>
              </c:strCache>
            </c:strRef>
          </c:cat>
          <c:val>
            <c:numRef>
              <c:f>'Vekstimpuls 2000-2013'!$J$79:$J$100</c:f>
              <c:numCache>
                <c:formatCode>0.0</c:formatCode>
                <c:ptCount val="22"/>
                <c:pt idx="0">
                  <c:v>-2.5018395879323045</c:v>
                </c:pt>
                <c:pt idx="1">
                  <c:v>2.2598870056497176</c:v>
                </c:pt>
                <c:pt idx="2">
                  <c:v>-0.34682080924855513</c:v>
                </c:pt>
                <c:pt idx="3">
                  <c:v>-1.3333333333333335</c:v>
                </c:pt>
                <c:pt idx="4">
                  <c:v>-1.6893732970027244</c:v>
                </c:pt>
                <c:pt idx="5">
                  <c:v>-2.5204117855875054</c:v>
                </c:pt>
                <c:pt idx="6">
                  <c:v>-1.0088657902782019</c:v>
                </c:pt>
                <c:pt idx="7">
                  <c:v>-0.57378634517439242</c:v>
                </c:pt>
                <c:pt idx="8">
                  <c:v>-1.0899182561307899</c:v>
                </c:pt>
                <c:pt idx="9">
                  <c:v>-0.36396724294813471</c:v>
                </c:pt>
                <c:pt idx="10">
                  <c:v>-0.12009607686148925</c:v>
                </c:pt>
                <c:pt idx="11">
                  <c:v>-1.6323126414869542</c:v>
                </c:pt>
                <c:pt idx="12">
                  <c:v>0.73439412484700128</c:v>
                </c:pt>
                <c:pt idx="13">
                  <c:v>-0.73761854583772368</c:v>
                </c:pt>
                <c:pt idx="14">
                  <c:v>-0.52379867911637457</c:v>
                </c:pt>
                <c:pt idx="15">
                  <c:v>-7.0249385317878457E-2</c:v>
                </c:pt>
                <c:pt idx="16">
                  <c:v>-0.35496957403651125</c:v>
                </c:pt>
                <c:pt idx="17">
                  <c:v>0.61919504643962886</c:v>
                </c:pt>
                <c:pt idx="18">
                  <c:v>-2.6795284030010719E-2</c:v>
                </c:pt>
                <c:pt idx="19">
                  <c:v>-2.6764548443832674</c:v>
                </c:pt>
                <c:pt idx="20">
                  <c:v>-0.27691242644513675</c:v>
                </c:pt>
                <c:pt idx="21">
                  <c:v>0.65252854812398065</c:v>
                </c:pt>
              </c:numCache>
            </c:numRef>
          </c:val>
        </c:ser>
        <c:ser>
          <c:idx val="6"/>
          <c:order val="6"/>
          <c:tx>
            <c:strRef>
              <c:f>'Vekstimpuls 2000-2013'!$K$1</c:f>
              <c:strCache>
                <c:ptCount val="1"/>
                <c:pt idx="0">
                  <c:v>Utleie av arbeidskraft</c:v>
                </c:pt>
              </c:strCache>
            </c:strRef>
          </c:tx>
          <c:spPr>
            <a:solidFill>
              <a:schemeClr val="accent1">
                <a:lumMod val="60000"/>
              </a:schemeClr>
            </a:solidFill>
            <a:ln>
              <a:noFill/>
            </a:ln>
            <a:effectLst/>
          </c:spPr>
          <c:cat>
            <c:strRef>
              <c:f>'Vekstimpuls 2000-2013'!$D$79:$D$100</c:f>
              <c:strCache>
                <c:ptCount val="22"/>
                <c:pt idx="0">
                  <c:v>Stor-Elvdal - 409</c:v>
                </c:pt>
                <c:pt idx="1">
                  <c:v>Folldal - 369</c:v>
                </c:pt>
                <c:pt idx="2">
                  <c:v>Tolga - 363</c:v>
                </c:pt>
                <c:pt idx="3">
                  <c:v>Løten - 342</c:v>
                </c:pt>
                <c:pt idx="4">
                  <c:v>Sør-Odal - 340</c:v>
                </c:pt>
                <c:pt idx="5">
                  <c:v>Tynset - 330</c:v>
                </c:pt>
                <c:pt idx="6">
                  <c:v>Trysil - 310</c:v>
                </c:pt>
                <c:pt idx="7">
                  <c:v>Ringsaker - 287</c:v>
                </c:pt>
                <c:pt idx="8">
                  <c:v>Engerdal - 273</c:v>
                </c:pt>
                <c:pt idx="9">
                  <c:v>Os - 267</c:v>
                </c:pt>
                <c:pt idx="10">
                  <c:v>Grue - 255</c:v>
                </c:pt>
                <c:pt idx="11">
                  <c:v>Kongsvinger - 250</c:v>
                </c:pt>
                <c:pt idx="12">
                  <c:v>Nord-Odal - 246</c:v>
                </c:pt>
                <c:pt idx="13">
                  <c:v>Våler - 245</c:v>
                </c:pt>
                <c:pt idx="14">
                  <c:v>Elverum - 244</c:v>
                </c:pt>
                <c:pt idx="15">
                  <c:v>Stange - 241</c:v>
                </c:pt>
                <c:pt idx="16">
                  <c:v>Åmot - 206</c:v>
                </c:pt>
                <c:pt idx="17">
                  <c:v>Rendalen - 163</c:v>
                </c:pt>
                <c:pt idx="18">
                  <c:v>Åsnes - 140</c:v>
                </c:pt>
                <c:pt idx="19">
                  <c:v>Hamar - 121</c:v>
                </c:pt>
                <c:pt idx="20">
                  <c:v>Eidskog - 98</c:v>
                </c:pt>
                <c:pt idx="21">
                  <c:v>Alvdal - 23</c:v>
                </c:pt>
              </c:strCache>
            </c:strRef>
          </c:cat>
          <c:val>
            <c:numRef>
              <c:f>'Vekstimpuls 2000-2013'!$K$79:$K$100</c:f>
              <c:numCache>
                <c:formatCode>0.0</c:formatCode>
                <c:ptCount val="22"/>
                <c:pt idx="0">
                  <c:v>0</c:v>
                </c:pt>
                <c:pt idx="1">
                  <c:v>0</c:v>
                </c:pt>
                <c:pt idx="2">
                  <c:v>-4.5086705202312141</c:v>
                </c:pt>
                <c:pt idx="3">
                  <c:v>2.9629629629629641E-2</c:v>
                </c:pt>
                <c:pt idx="4">
                  <c:v>0</c:v>
                </c:pt>
                <c:pt idx="5">
                  <c:v>1.2779552715654952</c:v>
                </c:pt>
                <c:pt idx="6">
                  <c:v>-0.18343014368694596</c:v>
                </c:pt>
                <c:pt idx="7">
                  <c:v>0</c:v>
                </c:pt>
                <c:pt idx="8">
                  <c:v>0</c:v>
                </c:pt>
                <c:pt idx="9">
                  <c:v>-0.54595086442220209</c:v>
                </c:pt>
                <c:pt idx="10">
                  <c:v>0</c:v>
                </c:pt>
                <c:pt idx="11">
                  <c:v>1.4893363517216722</c:v>
                </c:pt>
                <c:pt idx="12">
                  <c:v>0</c:v>
                </c:pt>
                <c:pt idx="13">
                  <c:v>0</c:v>
                </c:pt>
                <c:pt idx="14">
                  <c:v>1.1386927806877705E-2</c:v>
                </c:pt>
                <c:pt idx="15">
                  <c:v>0.10537407797681773</c:v>
                </c:pt>
                <c:pt idx="16">
                  <c:v>0</c:v>
                </c:pt>
                <c:pt idx="17">
                  <c:v>-0.92879256965944268</c:v>
                </c:pt>
                <c:pt idx="18">
                  <c:v>0.75026795284030012</c:v>
                </c:pt>
                <c:pt idx="19">
                  <c:v>0.68823124569855498</c:v>
                </c:pt>
                <c:pt idx="20">
                  <c:v>0</c:v>
                </c:pt>
                <c:pt idx="21">
                  <c:v>-8.1566068515497636E-2</c:v>
                </c:pt>
              </c:numCache>
            </c:numRef>
          </c:val>
        </c:ser>
        <c:gapWidth val="30"/>
        <c:overlap val="100"/>
        <c:axId val="250233216"/>
        <c:axId val="250234752"/>
      </c:barChart>
      <c:catAx>
        <c:axId val="250233216"/>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234752"/>
        <c:crosses val="autoZero"/>
        <c:auto val="1"/>
        <c:lblAlgn val="ctr"/>
        <c:lblOffset val="100"/>
      </c:catAx>
      <c:valAx>
        <c:axId val="25023475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233216"/>
        <c:crosses val="autoZero"/>
        <c:crossBetween val="between"/>
      </c:valAx>
      <c:spPr>
        <a:noFill/>
        <a:ln>
          <a:noFill/>
        </a:ln>
        <a:effectLst/>
      </c:spPr>
    </c:plotArea>
    <c:legend>
      <c:legendPos val="t"/>
      <c:layout>
        <c:manualLayout>
          <c:xMode val="edge"/>
          <c:yMode val="edge"/>
          <c:x val="1.1990429657062724E-2"/>
          <c:y val="1.3793103448275867E-2"/>
          <c:w val="0.96972587463663418"/>
          <c:h val="0.1432140465200471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'Bransjejustert tid'!$V$17</c:f>
              <c:strCache>
                <c:ptCount val="1"/>
                <c:pt idx="0">
                  <c:v>Najonal vekst</c:v>
                </c:pt>
              </c:strCache>
            </c:strRef>
          </c:tx>
          <c:spPr>
            <a:solidFill>
              <a:schemeClr val="bg1">
                <a:lumMod val="50000"/>
              </a:schemeClr>
            </a:solidFill>
            <a:ln>
              <a:noFill/>
            </a:ln>
            <a:effectLst/>
          </c:spPr>
          <c:cat>
            <c:numRef>
              <c:f>'Bransjejustert tid'!$U$18:$U$28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'Bransjejustert tid'!$V$18:$V$28</c:f>
              <c:numCache>
                <c:formatCode>#,##0.0</c:formatCode>
                <c:ptCount val="11"/>
                <c:pt idx="0">
                  <c:v>-6.6592782932889574E-2</c:v>
                </c:pt>
                <c:pt idx="1">
                  <c:v>-9.712099053892323E-2</c:v>
                </c:pt>
                <c:pt idx="2">
                  <c:v>0.16875198522600729</c:v>
                </c:pt>
                <c:pt idx="3">
                  <c:v>0.5570308564572547</c:v>
                </c:pt>
                <c:pt idx="4">
                  <c:v>0.89772150898645708</c:v>
                </c:pt>
                <c:pt idx="5">
                  <c:v>1.0488047241243172</c:v>
                </c:pt>
                <c:pt idx="6">
                  <c:v>0.46317637206528095</c:v>
                </c:pt>
                <c:pt idx="7">
                  <c:v>9.9923186675309833E-2</c:v>
                </c:pt>
                <c:pt idx="8">
                  <c:v>-7.8785794852004418E-2</c:v>
                </c:pt>
                <c:pt idx="9">
                  <c:v>0.28606720634031008</c:v>
                </c:pt>
                <c:pt idx="10">
                  <c:v>0.28274607257181766</c:v>
                </c:pt>
              </c:numCache>
            </c:numRef>
          </c:val>
        </c:ser>
        <c:ser>
          <c:idx val="1"/>
          <c:order val="1"/>
          <c:tx>
            <c:strRef>
              <c:f>'Bransjejustert tid'!$W$17</c:f>
              <c:strCache>
                <c:ptCount val="1"/>
                <c:pt idx="0">
                  <c:v>Bransjeeffekt</c:v>
                </c:pt>
              </c:strCache>
            </c:strRef>
          </c:tx>
          <c:spPr>
            <a:solidFill>
              <a:schemeClr val="tx1"/>
            </a:solidFill>
            <a:ln>
              <a:noFill/>
            </a:ln>
            <a:effectLst/>
          </c:spPr>
          <c:cat>
            <c:numRef>
              <c:f>'Bransjejustert tid'!$U$18:$U$28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'Bransjejustert tid'!$W$18:$W$28</c:f>
              <c:numCache>
                <c:formatCode>#,##0.0</c:formatCode>
                <c:ptCount val="11"/>
                <c:pt idx="0">
                  <c:v>3.8806977724568842E-2</c:v>
                </c:pt>
                <c:pt idx="1">
                  <c:v>3.9575083261210391E-2</c:v>
                </c:pt>
                <c:pt idx="2">
                  <c:v>5.8621468374324755E-2</c:v>
                </c:pt>
                <c:pt idx="3">
                  <c:v>1.231990976737588E-2</c:v>
                </c:pt>
                <c:pt idx="4">
                  <c:v>2.6057643796353728E-2</c:v>
                </c:pt>
                <c:pt idx="5">
                  <c:v>4.1294092589293105E-2</c:v>
                </c:pt>
                <c:pt idx="6">
                  <c:v>8.3084259498936528E-3</c:v>
                </c:pt>
                <c:pt idx="7">
                  <c:v>7.7262312170682064E-3</c:v>
                </c:pt>
                <c:pt idx="8">
                  <c:v>-2.3269598068282688E-2</c:v>
                </c:pt>
                <c:pt idx="9">
                  <c:v>2.3899893802315792E-2</c:v>
                </c:pt>
                <c:pt idx="10">
                  <c:v>3.2922027465642344E-2</c:v>
                </c:pt>
              </c:numCache>
            </c:numRef>
          </c:val>
        </c:ser>
        <c:ser>
          <c:idx val="2"/>
          <c:order val="2"/>
          <c:tx>
            <c:strRef>
              <c:f>'Bransjejustert tid'!$X$17</c:f>
              <c:strCache>
                <c:ptCount val="1"/>
                <c:pt idx="0">
                  <c:v>Bransjejustert</c:v>
                </c:pt>
              </c:strCache>
            </c:strRef>
          </c:tx>
          <c:spPr>
            <a:solidFill>
              <a:srgbClr val="00B0F0"/>
            </a:solidFill>
            <a:ln>
              <a:noFill/>
            </a:ln>
            <a:effectLst/>
          </c:spPr>
          <c:cat>
            <c:numRef>
              <c:f>'Bransjejustert tid'!$U$18:$U$28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'Bransjejustert tid'!$X$18:$X$28</c:f>
              <c:numCache>
                <c:formatCode>#,##0.0</c:formatCode>
                <c:ptCount val="11"/>
                <c:pt idx="0">
                  <c:v>0.16705193045087574</c:v>
                </c:pt>
                <c:pt idx="1">
                  <c:v>0.43964319471122654</c:v>
                </c:pt>
                <c:pt idx="2">
                  <c:v>0.22832477757474332</c:v>
                </c:pt>
                <c:pt idx="3">
                  <c:v>0.37534849348001204</c:v>
                </c:pt>
                <c:pt idx="4">
                  <c:v>-4.4784389971662494E-2</c:v>
                </c:pt>
                <c:pt idx="5">
                  <c:v>9.9479118489797055E-2</c:v>
                </c:pt>
                <c:pt idx="6">
                  <c:v>-0.35120920974865555</c:v>
                </c:pt>
                <c:pt idx="7">
                  <c:v>-0.36778682310622934</c:v>
                </c:pt>
                <c:pt idx="8">
                  <c:v>-0.6114186573917092</c:v>
                </c:pt>
                <c:pt idx="9">
                  <c:v>-0.17288806054344122</c:v>
                </c:pt>
                <c:pt idx="10">
                  <c:v>-0.25887180648938152</c:v>
                </c:pt>
              </c:numCache>
            </c:numRef>
          </c:val>
        </c:ser>
        <c:gapWidth val="30"/>
        <c:overlap val="100"/>
        <c:axId val="250365824"/>
        <c:axId val="250367360"/>
      </c:barChart>
      <c:lineChart>
        <c:grouping val="standard"/>
        <c:ser>
          <c:idx val="3"/>
          <c:order val="3"/>
          <c:tx>
            <c:strRef>
              <c:f>'Bransjejustert tid'!$Y$17</c:f>
              <c:strCache>
                <c:ptCount val="1"/>
                <c:pt idx="0">
                  <c:v>Arbeidsplassvekst</c:v>
                </c:pt>
              </c:strCache>
            </c:strRef>
          </c:tx>
          <c:spPr>
            <a:ln w="38100" cap="rnd">
              <a:solidFill>
                <a:srgbClr val="FF0000"/>
              </a:solidFill>
              <a:round/>
            </a:ln>
            <a:effectLst/>
          </c:spPr>
          <c:marker>
            <c:symbol val="none"/>
          </c:marker>
          <c:cat>
            <c:numRef>
              <c:f>'Bransjejustert tid'!$U$18:$U$28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'Bransjejustert tid'!$Y$18:$Y$28</c:f>
              <c:numCache>
                <c:formatCode>#,##0.0</c:formatCode>
                <c:ptCount val="11"/>
                <c:pt idx="0">
                  <c:v>0.13926612524255497</c:v>
                </c:pt>
                <c:pt idx="1">
                  <c:v>0.38209728743351384</c:v>
                </c:pt>
                <c:pt idx="2">
                  <c:v>0.45569823117507541</c:v>
                </c:pt>
                <c:pt idx="3">
                  <c:v>0.94469925970464252</c:v>
                </c:pt>
                <c:pt idx="4">
                  <c:v>0.87899476281114863</c:v>
                </c:pt>
                <c:pt idx="5">
                  <c:v>1.1895779352034077</c:v>
                </c:pt>
                <c:pt idx="6">
                  <c:v>0.12027558826651912</c:v>
                </c:pt>
                <c:pt idx="7">
                  <c:v>-0.26013740521385131</c:v>
                </c:pt>
                <c:pt idx="8">
                  <c:v>-0.71347405031199629</c:v>
                </c:pt>
                <c:pt idx="9">
                  <c:v>0.13707903959918474</c:v>
                </c:pt>
                <c:pt idx="10">
                  <c:v>5.6796293548078566E-2</c:v>
                </c:pt>
              </c:numCache>
            </c:numRef>
          </c:val>
          <c:smooth val="1"/>
        </c:ser>
        <c:marker val="1"/>
        <c:axId val="250365824"/>
        <c:axId val="250367360"/>
      </c:lineChart>
      <c:catAx>
        <c:axId val="250365824"/>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367360"/>
        <c:crosses val="autoZero"/>
        <c:auto val="1"/>
        <c:lblAlgn val="ctr"/>
        <c:lblOffset val="100"/>
      </c:catAx>
      <c:valAx>
        <c:axId val="250367360"/>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365824"/>
        <c:crosses val="autoZero"/>
        <c:crossBetween val="between"/>
      </c:valAx>
      <c:spPr>
        <a:noFill/>
        <a:ln>
          <a:noFill/>
        </a:ln>
        <a:effectLst/>
      </c:spPr>
    </c:plotArea>
    <c:legend>
      <c:legendPos val="t"/>
      <c:layout>
        <c:manualLayout>
          <c:xMode val="edge"/>
          <c:yMode val="edge"/>
          <c:x val="1.2006489247560965E-2"/>
          <c:y val="3.3469301271675349E-3"/>
          <c:w val="0.98164573092703022"/>
          <c:h val="0.11778242424210485"/>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188914097602216"/>
          <c:y val="0.10162498636325719"/>
          <c:w val="0.57837092397348655"/>
          <c:h val="0.84302049040935922"/>
        </c:manualLayout>
      </c:layout>
      <c:barChart>
        <c:barDir val="bar"/>
        <c:grouping val="stacked"/>
        <c:ser>
          <c:idx val="0"/>
          <c:order val="0"/>
          <c:tx>
            <c:strRef>
              <c:f>'Bransjejustert 2011-2013'!$E$1</c:f>
              <c:strCache>
                <c:ptCount val="1"/>
                <c:pt idx="0">
                  <c:v>Nasjonal vekst</c:v>
                </c:pt>
              </c:strCache>
            </c:strRef>
          </c:tx>
          <c:spPr>
            <a:solidFill>
              <a:schemeClr val="accent3"/>
            </a:solidFill>
            <a:ln>
              <a:noFill/>
            </a:ln>
            <a:effectLst/>
          </c:spPr>
          <c:cat>
            <c:strRef>
              <c:f>'Bransjejustert 2011-2013'!$D$79:$D$100</c:f>
              <c:strCache>
                <c:ptCount val="22"/>
                <c:pt idx="0">
                  <c:v>Trysil - 421</c:v>
                </c:pt>
                <c:pt idx="1">
                  <c:v>Tynset - 404</c:v>
                </c:pt>
                <c:pt idx="2">
                  <c:v>Engerdal - 394</c:v>
                </c:pt>
                <c:pt idx="3">
                  <c:v>Elverum - 364</c:v>
                </c:pt>
                <c:pt idx="4">
                  <c:v>Grue - 357</c:v>
                </c:pt>
                <c:pt idx="5">
                  <c:v>Kongsvinger - 339</c:v>
                </c:pt>
                <c:pt idx="6">
                  <c:v>Hamar - 324</c:v>
                </c:pt>
                <c:pt idx="7">
                  <c:v>Nord-Odal - 313</c:v>
                </c:pt>
                <c:pt idx="8">
                  <c:v>Folldal - 297</c:v>
                </c:pt>
                <c:pt idx="9">
                  <c:v>Tolga - 262</c:v>
                </c:pt>
                <c:pt idx="10">
                  <c:v>Os - 246</c:v>
                </c:pt>
                <c:pt idx="11">
                  <c:v>Åsnes - 240</c:v>
                </c:pt>
                <c:pt idx="12">
                  <c:v>Åmot - 210</c:v>
                </c:pt>
                <c:pt idx="13">
                  <c:v>Stange - 193</c:v>
                </c:pt>
                <c:pt idx="14">
                  <c:v>Ringsaker - 178</c:v>
                </c:pt>
                <c:pt idx="15">
                  <c:v>Stor-Elvdal - 173</c:v>
                </c:pt>
                <c:pt idx="16">
                  <c:v>Sør-Odal - 144</c:v>
                </c:pt>
                <c:pt idx="17">
                  <c:v>Eidskog - 128</c:v>
                </c:pt>
                <c:pt idx="18">
                  <c:v>Rendalen - 77</c:v>
                </c:pt>
                <c:pt idx="19">
                  <c:v>Våler - 43</c:v>
                </c:pt>
                <c:pt idx="20">
                  <c:v>Løten - 24</c:v>
                </c:pt>
                <c:pt idx="21">
                  <c:v>Alvdal - 16</c:v>
                </c:pt>
              </c:strCache>
            </c:strRef>
          </c:cat>
          <c:val>
            <c:numRef>
              <c:f>'Bransjejustert 2011-2013'!$E$79:$E$100</c:f>
              <c:numCache>
                <c:formatCode>0.0</c:formatCode>
                <c:ptCount val="22"/>
                <c:pt idx="0">
                  <c:v>1.0276625314635557</c:v>
                </c:pt>
                <c:pt idx="1">
                  <c:v>1.2814755617279101</c:v>
                </c:pt>
                <c:pt idx="2">
                  <c:v>0.91663661236566651</c:v>
                </c:pt>
                <c:pt idx="3">
                  <c:v>0.91074150508597584</c:v>
                </c:pt>
                <c:pt idx="4">
                  <c:v>0.85006828821452551</c:v>
                </c:pt>
                <c:pt idx="5">
                  <c:v>1.1384566990144243</c:v>
                </c:pt>
                <c:pt idx="6">
                  <c:v>1.8875060411824172</c:v>
                </c:pt>
                <c:pt idx="7">
                  <c:v>0.73881503094283074</c:v>
                </c:pt>
                <c:pt idx="8">
                  <c:v>0.6599117097812307</c:v>
                </c:pt>
                <c:pt idx="9">
                  <c:v>0.49415379213464244</c:v>
                </c:pt>
                <c:pt idx="10">
                  <c:v>0.65825907971992215</c:v>
                </c:pt>
                <c:pt idx="11">
                  <c:v>0.91748813732477763</c:v>
                </c:pt>
                <c:pt idx="12">
                  <c:v>0.72206092902432628</c:v>
                </c:pt>
                <c:pt idx="13">
                  <c:v>0.55404002284308784</c:v>
                </c:pt>
                <c:pt idx="14">
                  <c:v>0.93449328234423779</c:v>
                </c:pt>
                <c:pt idx="15">
                  <c:v>0.53784799182445153</c:v>
                </c:pt>
                <c:pt idx="16">
                  <c:v>0.58937612530460337</c:v>
                </c:pt>
                <c:pt idx="17">
                  <c:v>0.68186016523396331</c:v>
                </c:pt>
                <c:pt idx="18">
                  <c:v>0.52124533058187084</c:v>
                </c:pt>
                <c:pt idx="19">
                  <c:v>0.56706909590774912</c:v>
                </c:pt>
                <c:pt idx="20">
                  <c:v>0.26887077291138567</c:v>
                </c:pt>
                <c:pt idx="21">
                  <c:v>0.86439110966471688</c:v>
                </c:pt>
              </c:numCache>
            </c:numRef>
          </c:val>
        </c:ser>
        <c:ser>
          <c:idx val="1"/>
          <c:order val="1"/>
          <c:tx>
            <c:strRef>
              <c:f>'Bransjejustert 2011-2013'!$F$1</c:f>
              <c:strCache>
                <c:ptCount val="1"/>
                <c:pt idx="0">
                  <c:v>Bransjeeffekt</c:v>
                </c:pt>
              </c:strCache>
            </c:strRef>
          </c:tx>
          <c:spPr>
            <a:solidFill>
              <a:schemeClr val="tx1"/>
            </a:solidFill>
            <a:ln>
              <a:noFill/>
            </a:ln>
            <a:effectLst/>
          </c:spPr>
          <c:cat>
            <c:strRef>
              <c:f>'Bransjejustert 2011-2013'!$D$79:$D$100</c:f>
              <c:strCache>
                <c:ptCount val="22"/>
                <c:pt idx="0">
                  <c:v>Trysil - 421</c:v>
                </c:pt>
                <c:pt idx="1">
                  <c:v>Tynset - 404</c:v>
                </c:pt>
                <c:pt idx="2">
                  <c:v>Engerdal - 394</c:v>
                </c:pt>
                <c:pt idx="3">
                  <c:v>Elverum - 364</c:v>
                </c:pt>
                <c:pt idx="4">
                  <c:v>Grue - 357</c:v>
                </c:pt>
                <c:pt idx="5">
                  <c:v>Kongsvinger - 339</c:v>
                </c:pt>
                <c:pt idx="6">
                  <c:v>Hamar - 324</c:v>
                </c:pt>
                <c:pt idx="7">
                  <c:v>Nord-Odal - 313</c:v>
                </c:pt>
                <c:pt idx="8">
                  <c:v>Folldal - 297</c:v>
                </c:pt>
                <c:pt idx="9">
                  <c:v>Tolga - 262</c:v>
                </c:pt>
                <c:pt idx="10">
                  <c:v>Os - 246</c:v>
                </c:pt>
                <c:pt idx="11">
                  <c:v>Åsnes - 240</c:v>
                </c:pt>
                <c:pt idx="12">
                  <c:v>Åmot - 210</c:v>
                </c:pt>
                <c:pt idx="13">
                  <c:v>Stange - 193</c:v>
                </c:pt>
                <c:pt idx="14">
                  <c:v>Ringsaker - 178</c:v>
                </c:pt>
                <c:pt idx="15">
                  <c:v>Stor-Elvdal - 173</c:v>
                </c:pt>
                <c:pt idx="16">
                  <c:v>Sør-Odal - 144</c:v>
                </c:pt>
                <c:pt idx="17">
                  <c:v>Eidskog - 128</c:v>
                </c:pt>
                <c:pt idx="18">
                  <c:v>Rendalen - 77</c:v>
                </c:pt>
                <c:pt idx="19">
                  <c:v>Våler - 43</c:v>
                </c:pt>
                <c:pt idx="20">
                  <c:v>Løten - 24</c:v>
                </c:pt>
                <c:pt idx="21">
                  <c:v>Alvdal - 16</c:v>
                </c:pt>
              </c:strCache>
            </c:strRef>
          </c:cat>
          <c:val>
            <c:numRef>
              <c:f>'Bransjejustert 2011-2013'!$F$79:$F$100</c:f>
              <c:numCache>
                <c:formatCode>0.0</c:formatCode>
                <c:ptCount val="22"/>
                <c:pt idx="0">
                  <c:v>0.5022529955217867</c:v>
                </c:pt>
                <c:pt idx="1">
                  <c:v>0.56024444667528472</c:v>
                </c:pt>
                <c:pt idx="2">
                  <c:v>0.78677807292849589</c:v>
                </c:pt>
                <c:pt idx="3">
                  <c:v>0.1998655691699234</c:v>
                </c:pt>
                <c:pt idx="4">
                  <c:v>0.14121084207906628</c:v>
                </c:pt>
                <c:pt idx="5">
                  <c:v>7.507742571931357E-2</c:v>
                </c:pt>
                <c:pt idx="6">
                  <c:v>0.12708543094079244</c:v>
                </c:pt>
                <c:pt idx="7">
                  <c:v>0.1788560609705451</c:v>
                </c:pt>
                <c:pt idx="8">
                  <c:v>3.8428231999666322E-2</c:v>
                </c:pt>
                <c:pt idx="9">
                  <c:v>0.15548865280015994</c:v>
                </c:pt>
                <c:pt idx="10">
                  <c:v>0.46532404771885866</c:v>
                </c:pt>
                <c:pt idx="11">
                  <c:v>0.21581621176922469</c:v>
                </c:pt>
                <c:pt idx="12">
                  <c:v>0.18568025418931144</c:v>
                </c:pt>
                <c:pt idx="13">
                  <c:v>7.8890820921944882E-2</c:v>
                </c:pt>
                <c:pt idx="14">
                  <c:v>1.4101533781843362E-2</c:v>
                </c:pt>
                <c:pt idx="15">
                  <c:v>6.0658840284364496E-2</c:v>
                </c:pt>
                <c:pt idx="16">
                  <c:v>4.5064813313715783E-3</c:v>
                </c:pt>
                <c:pt idx="17">
                  <c:v>0.26113922321034444</c:v>
                </c:pt>
                <c:pt idx="18">
                  <c:v>0.26870519724329411</c:v>
                </c:pt>
                <c:pt idx="19">
                  <c:v>-0.15434944200082903</c:v>
                </c:pt>
                <c:pt idx="20">
                  <c:v>0.14237498787346556</c:v>
                </c:pt>
                <c:pt idx="21">
                  <c:v>0.6373998186198635</c:v>
                </c:pt>
              </c:numCache>
            </c:numRef>
          </c:val>
        </c:ser>
        <c:ser>
          <c:idx val="2"/>
          <c:order val="2"/>
          <c:tx>
            <c:strRef>
              <c:f>'Bransjejustert 2011-2013'!$G$1</c:f>
              <c:strCache>
                <c:ptCount val="1"/>
                <c:pt idx="0">
                  <c:v>Bransjejustert</c:v>
                </c:pt>
              </c:strCache>
            </c:strRef>
          </c:tx>
          <c:spPr>
            <a:solidFill>
              <a:srgbClr val="00B0F0"/>
            </a:solidFill>
            <a:ln>
              <a:noFill/>
            </a:ln>
            <a:effectLst/>
          </c:spPr>
          <c:cat>
            <c:strRef>
              <c:f>'Bransjejustert 2011-2013'!$D$79:$D$100</c:f>
              <c:strCache>
                <c:ptCount val="22"/>
                <c:pt idx="0">
                  <c:v>Trysil - 421</c:v>
                </c:pt>
                <c:pt idx="1">
                  <c:v>Tynset - 404</c:v>
                </c:pt>
                <c:pt idx="2">
                  <c:v>Engerdal - 394</c:v>
                </c:pt>
                <c:pt idx="3">
                  <c:v>Elverum - 364</c:v>
                </c:pt>
                <c:pt idx="4">
                  <c:v>Grue - 357</c:v>
                </c:pt>
                <c:pt idx="5">
                  <c:v>Kongsvinger - 339</c:v>
                </c:pt>
                <c:pt idx="6">
                  <c:v>Hamar - 324</c:v>
                </c:pt>
                <c:pt idx="7">
                  <c:v>Nord-Odal - 313</c:v>
                </c:pt>
                <c:pt idx="8">
                  <c:v>Folldal - 297</c:v>
                </c:pt>
                <c:pt idx="9">
                  <c:v>Tolga - 262</c:v>
                </c:pt>
                <c:pt idx="10">
                  <c:v>Os - 246</c:v>
                </c:pt>
                <c:pt idx="11">
                  <c:v>Åsnes - 240</c:v>
                </c:pt>
                <c:pt idx="12">
                  <c:v>Åmot - 210</c:v>
                </c:pt>
                <c:pt idx="13">
                  <c:v>Stange - 193</c:v>
                </c:pt>
                <c:pt idx="14">
                  <c:v>Ringsaker - 178</c:v>
                </c:pt>
                <c:pt idx="15">
                  <c:v>Stor-Elvdal - 173</c:v>
                </c:pt>
                <c:pt idx="16">
                  <c:v>Sør-Odal - 144</c:v>
                </c:pt>
                <c:pt idx="17">
                  <c:v>Eidskog - 128</c:v>
                </c:pt>
                <c:pt idx="18">
                  <c:v>Rendalen - 77</c:v>
                </c:pt>
                <c:pt idx="19">
                  <c:v>Våler - 43</c:v>
                </c:pt>
                <c:pt idx="20">
                  <c:v>Løten - 24</c:v>
                </c:pt>
                <c:pt idx="21">
                  <c:v>Alvdal - 16</c:v>
                </c:pt>
              </c:strCache>
            </c:strRef>
          </c:cat>
          <c:val>
            <c:numRef>
              <c:f>'Bransjejustert 2011-2013'!$G$79:$G$100</c:f>
              <c:numCache>
                <c:formatCode>0.0</c:formatCode>
                <c:ptCount val="22"/>
                <c:pt idx="0">
                  <c:v>-7.6077882715247496</c:v>
                </c:pt>
                <c:pt idx="1">
                  <c:v>-4.7056818222456762</c:v>
                </c:pt>
                <c:pt idx="2">
                  <c:v>-4.0256207810851663</c:v>
                </c:pt>
                <c:pt idx="3">
                  <c:v>-2.5591534981569155</c:v>
                </c:pt>
                <c:pt idx="4">
                  <c:v>-2.4112447068856744</c:v>
                </c:pt>
                <c:pt idx="5">
                  <c:v>-2.0097929720542638</c:v>
                </c:pt>
                <c:pt idx="6">
                  <c:v>-1.79537076637397</c:v>
                </c:pt>
                <c:pt idx="7">
                  <c:v>-1.7241227048166021</c:v>
                </c:pt>
                <c:pt idx="8">
                  <c:v>-1.4025652938935731</c:v>
                </c:pt>
                <c:pt idx="9">
                  <c:v>-0.98150085201444848</c:v>
                </c:pt>
                <c:pt idx="10">
                  <c:v>-0.75795241445889083</c:v>
                </c:pt>
                <c:pt idx="11">
                  <c:v>-0.72703621212360192</c:v>
                </c:pt>
                <c:pt idx="12">
                  <c:v>-0.31250308797554271</c:v>
                </c:pt>
                <c:pt idx="13">
                  <c:v>-0.16052371471199409</c:v>
                </c:pt>
                <c:pt idx="14">
                  <c:v>3.7941139696962882E-2</c:v>
                </c:pt>
                <c:pt idx="15">
                  <c:v>0.11976930516173456</c:v>
                </c:pt>
                <c:pt idx="16">
                  <c:v>0.4992980284499175</c:v>
                </c:pt>
                <c:pt idx="17">
                  <c:v>0.74158842517576351</c:v>
                </c:pt>
                <c:pt idx="18">
                  <c:v>1.5332817954071576</c:v>
                </c:pt>
                <c:pt idx="19">
                  <c:v>2.4993682581809926</c:v>
                </c:pt>
                <c:pt idx="20">
                  <c:v>3.5194854101882092</c:v>
                </c:pt>
                <c:pt idx="21">
                  <c:v>4.2401926660480065</c:v>
                </c:pt>
              </c:numCache>
            </c:numRef>
          </c:val>
        </c:ser>
        <c:gapWidth val="30"/>
        <c:overlap val="100"/>
        <c:axId val="250469760"/>
        <c:axId val="250479744"/>
      </c:barChart>
      <c:catAx>
        <c:axId val="250469760"/>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479744"/>
        <c:crosses val="autoZero"/>
        <c:auto val="1"/>
        <c:lblAlgn val="ctr"/>
        <c:lblOffset val="100"/>
      </c:catAx>
      <c:valAx>
        <c:axId val="250479744"/>
        <c:scaling>
          <c:orientation val="minMax"/>
          <c:max val="6"/>
          <c:min val="-8"/>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469760"/>
        <c:crosses val="autoZero"/>
        <c:crossBetween val="between"/>
        <c:majorUnit val="2"/>
      </c:valAx>
      <c:spPr>
        <a:noFill/>
        <a:ln>
          <a:noFill/>
        </a:ln>
        <a:effectLst/>
      </c:spPr>
    </c:plotArea>
    <c:legend>
      <c:legendPos val="t"/>
      <c:layout>
        <c:manualLayout>
          <c:xMode val="edge"/>
          <c:yMode val="edge"/>
          <c:x val="0"/>
          <c:y val="5.9479549260541189E-3"/>
          <c:w val="1"/>
          <c:h val="4.1535615214462793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52462212319918"/>
          <c:y val="0.11256772834191577"/>
          <c:w val="0.82531567798398209"/>
          <c:h val="0.74002706409103713"/>
        </c:manualLayout>
      </c:layout>
      <c:barChart>
        <c:barDir val="col"/>
        <c:grouping val="stacked"/>
        <c:ser>
          <c:idx val="0"/>
          <c:order val="0"/>
          <c:tx>
            <c:strRef>
              <c:f>'Næringsattraktivitet tid'!$S$5</c:f>
              <c:strCache>
                <c:ptCount val="1"/>
                <c:pt idx="0">
                  <c:v>Basis</c:v>
                </c:pt>
              </c:strCache>
            </c:strRef>
          </c:tx>
          <c:spPr>
            <a:solidFill>
              <a:schemeClr val="accent2"/>
            </a:solidFill>
            <a:ln>
              <a:noFill/>
            </a:ln>
            <a:effectLst/>
          </c:spPr>
          <c:cat>
            <c:numRef>
              <c:f>'Næringsattraktivitet tid'!$R$6:$R$16</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'Næringsattraktivitet tid'!$S$6:$S$16</c:f>
              <c:numCache>
                <c:formatCode>#,##0.0</c:formatCode>
                <c:ptCount val="11"/>
                <c:pt idx="0">
                  <c:v>-0.27101728947268355</c:v>
                </c:pt>
                <c:pt idx="1">
                  <c:v>-0.35016583514180522</c:v>
                </c:pt>
                <c:pt idx="2">
                  <c:v>-0.1749281229184193</c:v>
                </c:pt>
                <c:pt idx="3">
                  <c:v>-0.26173221557064941</c:v>
                </c:pt>
                <c:pt idx="4">
                  <c:v>-0.29985065629322716</c:v>
                </c:pt>
                <c:pt idx="5">
                  <c:v>-0.22750410462013834</c:v>
                </c:pt>
                <c:pt idx="6">
                  <c:v>-0.29686422092536685</c:v>
                </c:pt>
                <c:pt idx="7">
                  <c:v>-0.34251381873055115</c:v>
                </c:pt>
                <c:pt idx="8">
                  <c:v>-0.37218742381291942</c:v>
                </c:pt>
                <c:pt idx="9">
                  <c:v>-6.6170774676854047E-2</c:v>
                </c:pt>
                <c:pt idx="10">
                  <c:v>3.3229852649199386E-2</c:v>
                </c:pt>
              </c:numCache>
            </c:numRef>
          </c:val>
        </c:ser>
        <c:ser>
          <c:idx val="1"/>
          <c:order val="1"/>
          <c:tx>
            <c:strRef>
              <c:f>'Næringsattraktivitet tid'!$T$5</c:f>
              <c:strCache>
                <c:ptCount val="1"/>
                <c:pt idx="0">
                  <c:v>Besøk</c:v>
                </c:pt>
              </c:strCache>
            </c:strRef>
          </c:tx>
          <c:spPr>
            <a:solidFill>
              <a:schemeClr val="accent6"/>
            </a:solidFill>
            <a:ln>
              <a:noFill/>
            </a:ln>
            <a:effectLst/>
          </c:spPr>
          <c:cat>
            <c:numRef>
              <c:f>'Næringsattraktivitet tid'!$R$6:$R$16</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'Næringsattraktivitet tid'!$T$6:$T$16</c:f>
              <c:numCache>
                <c:formatCode>#,##0.0</c:formatCode>
                <c:ptCount val="11"/>
                <c:pt idx="0">
                  <c:v>0.2994378457676265</c:v>
                </c:pt>
                <c:pt idx="1">
                  <c:v>0.13734583173931139</c:v>
                </c:pt>
                <c:pt idx="2">
                  <c:v>-6.9056320776871129E-3</c:v>
                </c:pt>
                <c:pt idx="3">
                  <c:v>-0.21945303405959476</c:v>
                </c:pt>
                <c:pt idx="4">
                  <c:v>-0.39264302675369639</c:v>
                </c:pt>
                <c:pt idx="5">
                  <c:v>-0.20204275735372293</c:v>
                </c:pt>
                <c:pt idx="6">
                  <c:v>2.3682394986980475E-2</c:v>
                </c:pt>
                <c:pt idx="7">
                  <c:v>0.23912623800438521</c:v>
                </c:pt>
                <c:pt idx="8">
                  <c:v>0.1103449373561184</c:v>
                </c:pt>
                <c:pt idx="9">
                  <c:v>-6.0904533513432564E-2</c:v>
                </c:pt>
                <c:pt idx="10">
                  <c:v>-7.9121713754493936E-2</c:v>
                </c:pt>
              </c:numCache>
            </c:numRef>
          </c:val>
        </c:ser>
        <c:ser>
          <c:idx val="2"/>
          <c:order val="2"/>
          <c:tx>
            <c:strRef>
              <c:f>'Næringsattraktivitet tid'!$U$5</c:f>
              <c:strCache>
                <c:ptCount val="1"/>
                <c:pt idx="0">
                  <c:v>Regional</c:v>
                </c:pt>
              </c:strCache>
            </c:strRef>
          </c:tx>
          <c:spPr>
            <a:solidFill>
              <a:schemeClr val="accent1"/>
            </a:solidFill>
            <a:ln>
              <a:noFill/>
            </a:ln>
            <a:effectLst/>
          </c:spPr>
          <c:cat>
            <c:numRef>
              <c:f>'Næringsattraktivitet tid'!$R$6:$R$16</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'Næringsattraktivitet tid'!$U$6:$U$16</c:f>
              <c:numCache>
                <c:formatCode>#,##0.0</c:formatCode>
                <c:ptCount val="11"/>
                <c:pt idx="0">
                  <c:v>0.16705193045087574</c:v>
                </c:pt>
                <c:pt idx="1">
                  <c:v>0.43964319471122654</c:v>
                </c:pt>
                <c:pt idx="2">
                  <c:v>0.22832477757474332</c:v>
                </c:pt>
                <c:pt idx="3">
                  <c:v>0.37534849348001204</c:v>
                </c:pt>
                <c:pt idx="4">
                  <c:v>-4.4784389971662494E-2</c:v>
                </c:pt>
                <c:pt idx="5">
                  <c:v>9.9479118489797055E-2</c:v>
                </c:pt>
                <c:pt idx="6">
                  <c:v>-0.35120920974865555</c:v>
                </c:pt>
                <c:pt idx="7">
                  <c:v>-0.36778682310622934</c:v>
                </c:pt>
                <c:pt idx="8">
                  <c:v>-0.6114186573917092</c:v>
                </c:pt>
                <c:pt idx="9">
                  <c:v>-0.17288806054344122</c:v>
                </c:pt>
                <c:pt idx="10">
                  <c:v>-0.25887180648938152</c:v>
                </c:pt>
              </c:numCache>
            </c:numRef>
          </c:val>
        </c:ser>
        <c:gapWidth val="30"/>
        <c:overlap val="100"/>
        <c:axId val="250538624"/>
        <c:axId val="250552704"/>
      </c:barChart>
      <c:lineChart>
        <c:grouping val="standard"/>
        <c:ser>
          <c:idx val="3"/>
          <c:order val="3"/>
          <c:tx>
            <c:strRef>
              <c:f>'Næringsattraktivitet tid'!$V$5</c:f>
              <c:strCache>
                <c:ptCount val="1"/>
                <c:pt idx="0">
                  <c:v>SUM</c:v>
                </c:pt>
              </c:strCache>
            </c:strRef>
          </c:tx>
          <c:spPr>
            <a:ln w="38100" cap="rnd">
              <a:solidFill>
                <a:schemeClr val="tx1"/>
              </a:solidFill>
              <a:prstDash val="sysDot"/>
              <a:round/>
            </a:ln>
            <a:effectLst/>
          </c:spPr>
          <c:marker>
            <c:symbol val="none"/>
          </c:marker>
          <c:cat>
            <c:numRef>
              <c:f>'Næringsattraktivitet tid'!$R$6:$R$16</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'Næringsattraktivitet tid'!$V$6:$V$16</c:f>
              <c:numCache>
                <c:formatCode>#,##0.0</c:formatCode>
                <c:ptCount val="11"/>
                <c:pt idx="0">
                  <c:v>0.19547248674581871</c:v>
                </c:pt>
                <c:pt idx="1">
                  <c:v>0.22682319130873277</c:v>
                </c:pt>
                <c:pt idx="2">
                  <c:v>4.6491022578636909E-2</c:v>
                </c:pt>
                <c:pt idx="3">
                  <c:v>-0.10583675615023223</c:v>
                </c:pt>
                <c:pt idx="4">
                  <c:v>-0.7372780730185865</c:v>
                </c:pt>
                <c:pt idx="5">
                  <c:v>-0.33006774348406437</c:v>
                </c:pt>
                <c:pt idx="6">
                  <c:v>-0.62439103568704191</c:v>
                </c:pt>
                <c:pt idx="7">
                  <c:v>-0.47117440383239517</c:v>
                </c:pt>
                <c:pt idx="8">
                  <c:v>-0.87326114384850984</c:v>
                </c:pt>
                <c:pt idx="9">
                  <c:v>-0.29996336873372781</c:v>
                </c:pt>
                <c:pt idx="10">
                  <c:v>-0.30476366759467627</c:v>
                </c:pt>
              </c:numCache>
            </c:numRef>
          </c:val>
        </c:ser>
        <c:marker val="1"/>
        <c:axId val="250538624"/>
        <c:axId val="250552704"/>
      </c:lineChart>
      <c:catAx>
        <c:axId val="250538624"/>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552704"/>
        <c:crosses val="autoZero"/>
        <c:auto val="1"/>
        <c:lblAlgn val="ctr"/>
        <c:lblOffset val="100"/>
      </c:catAx>
      <c:valAx>
        <c:axId val="250552704"/>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538624"/>
        <c:crosses val="autoZero"/>
        <c:crossBetween val="between"/>
      </c:valAx>
      <c:spPr>
        <a:noFill/>
        <a:ln>
          <a:noFill/>
        </a:ln>
        <a:effectLst/>
      </c:spPr>
    </c:plotArea>
    <c:legend>
      <c:legendPos val="t"/>
      <c:layout>
        <c:manualLayout>
          <c:xMode val="edge"/>
          <c:yMode val="edge"/>
          <c:x val="0"/>
          <c:y val="0"/>
          <c:w val="0.99485699335814559"/>
          <c:h val="0.11256772834191579"/>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lang val="nb-NO"/>
  <c:chart>
    <c:autoTitleDeleted val="1"/>
    <c:plotArea>
      <c:layout>
        <c:manualLayout>
          <c:layoutTarget val="inner"/>
          <c:xMode val="edge"/>
          <c:yMode val="edge"/>
          <c:x val="0.31294597790660811"/>
          <c:y val="3.3531918085370607E-2"/>
          <c:w val="0.62667791526059302"/>
          <c:h val="0.92077861677649075"/>
        </c:manualLayout>
      </c:layout>
      <c:barChart>
        <c:barDir val="bar"/>
        <c:grouping val="stacked"/>
        <c:ser>
          <c:idx val="0"/>
          <c:order val="0"/>
          <c:tx>
            <c:strRef>
              <c:f>'Næringsattt 2000-2013'!$D$1</c:f>
              <c:strCache>
                <c:ptCount val="1"/>
                <c:pt idx="0">
                  <c:v>Basis</c:v>
                </c:pt>
              </c:strCache>
            </c:strRef>
          </c:tx>
          <c:spPr>
            <a:solidFill>
              <a:srgbClr val="C00000"/>
            </a:solidFill>
            <a:ln>
              <a:noFill/>
            </a:ln>
            <a:effectLst/>
          </c:spPr>
          <c:cat>
            <c:multiLvlStrRef>
              <c:f>'Næringsattt 2000-2013'!$B$2:$C$31</c:f>
              <c:multiLvlStrCache>
                <c:ptCount val="30"/>
                <c:lvl>
                  <c:pt idx="0">
                    <c:v>Oslo</c:v>
                  </c:pt>
                  <c:pt idx="1">
                    <c:v>Øst-Telemark</c:v>
                  </c:pt>
                  <c:pt idx="2">
                    <c:v>Midt-Gudbrandsdal</c:v>
                  </c:pt>
                  <c:pt idx="3">
                    <c:v>Mosseregionen</c:v>
                  </c:pt>
                  <c:pt idx="4">
                    <c:v>Grenland</c:v>
                  </c:pt>
                  <c:pt idx="5">
                    <c:v>Nedre Glomma</c:v>
                  </c:pt>
                  <c:pt idx="6">
                    <c:v>Nord-Gudbrandsdal</c:v>
                  </c:pt>
                  <c:pt idx="7">
                    <c:v>Lillehammerregionen</c:v>
                  </c:pt>
                  <c:pt idx="8">
                    <c:v>Sør Østerdal</c:v>
                  </c:pt>
                  <c:pt idx="9">
                    <c:v>Halden (Region)</c:v>
                  </c:pt>
                  <c:pt idx="10">
                    <c:v>Valdres</c:v>
                  </c:pt>
                  <c:pt idx="11">
                    <c:v>Hallingdal</c:v>
                  </c:pt>
                  <c:pt idx="12">
                    <c:v>Gjøvikregionen</c:v>
                  </c:pt>
                  <c:pt idx="13">
                    <c:v>Hamarregionen</c:v>
                  </c:pt>
                  <c:pt idx="14">
                    <c:v>Glåmdal</c:v>
                  </c:pt>
                  <c:pt idx="15">
                    <c:v>Fjellregionen</c:v>
                  </c:pt>
                  <c:pt idx="16">
                    <c:v>Ringerike/Hole</c:v>
                  </c:pt>
                  <c:pt idx="17">
                    <c:v>Midt-Telemark</c:v>
                  </c:pt>
                  <c:pt idx="18">
                    <c:v>Tønsbergregionen</c:v>
                  </c:pt>
                  <c:pt idx="19">
                    <c:v>Sandefjord/Larvik</c:v>
                  </c:pt>
                  <c:pt idx="20">
                    <c:v>Indre Østfold</c:v>
                  </c:pt>
                  <c:pt idx="21">
                    <c:v>Hadeland</c:v>
                  </c:pt>
                  <c:pt idx="22">
                    <c:v>Midt-Buskerud</c:v>
                  </c:pt>
                  <c:pt idx="23">
                    <c:v>Drammensregionen</c:v>
                  </c:pt>
                  <c:pt idx="24">
                    <c:v>Follo</c:v>
                  </c:pt>
                  <c:pt idx="25">
                    <c:v>Nedre Romerike</c:v>
                  </c:pt>
                  <c:pt idx="26">
                    <c:v>Vest-Telemark</c:v>
                  </c:pt>
                  <c:pt idx="27">
                    <c:v>Akershus Vest</c:v>
                  </c:pt>
                  <c:pt idx="28">
                    <c:v>Øvre Romerike</c:v>
                  </c:pt>
                  <c:pt idx="29">
                    <c:v>Kongsberg/Numedal</c:v>
                  </c:pt>
                </c:lvl>
                <c:lvl>
                  <c:pt idx="0">
                    <c:v>83</c:v>
                  </c:pt>
                  <c:pt idx="1">
                    <c:v>82</c:v>
                  </c:pt>
                  <c:pt idx="2">
                    <c:v>80</c:v>
                  </c:pt>
                  <c:pt idx="3">
                    <c:v>78</c:v>
                  </c:pt>
                  <c:pt idx="4">
                    <c:v>77</c:v>
                  </c:pt>
                  <c:pt idx="5">
                    <c:v>76</c:v>
                  </c:pt>
                  <c:pt idx="6">
                    <c:v>75</c:v>
                  </c:pt>
                  <c:pt idx="7">
                    <c:v>74</c:v>
                  </c:pt>
                  <c:pt idx="8">
                    <c:v>73</c:v>
                  </c:pt>
                  <c:pt idx="9">
                    <c:v>71</c:v>
                  </c:pt>
                  <c:pt idx="10">
                    <c:v>70</c:v>
                  </c:pt>
                  <c:pt idx="11">
                    <c:v>69</c:v>
                  </c:pt>
                  <c:pt idx="12">
                    <c:v>66</c:v>
                  </c:pt>
                  <c:pt idx="13">
                    <c:v>64</c:v>
                  </c:pt>
                  <c:pt idx="14">
                    <c:v>61</c:v>
                  </c:pt>
                  <c:pt idx="15">
                    <c:v>58</c:v>
                  </c:pt>
                  <c:pt idx="16">
                    <c:v>57</c:v>
                  </c:pt>
                  <c:pt idx="17">
                    <c:v>53</c:v>
                  </c:pt>
                  <c:pt idx="18">
                    <c:v>51</c:v>
                  </c:pt>
                  <c:pt idx="19">
                    <c:v>48</c:v>
                  </c:pt>
                  <c:pt idx="20">
                    <c:v>43</c:v>
                  </c:pt>
                  <c:pt idx="21">
                    <c:v>42</c:v>
                  </c:pt>
                  <c:pt idx="22">
                    <c:v>38</c:v>
                  </c:pt>
                  <c:pt idx="23">
                    <c:v>23</c:v>
                  </c:pt>
                  <c:pt idx="24">
                    <c:v>22</c:v>
                  </c:pt>
                  <c:pt idx="25">
                    <c:v>21</c:v>
                  </c:pt>
                  <c:pt idx="26">
                    <c:v>18</c:v>
                  </c:pt>
                  <c:pt idx="27">
                    <c:v>14</c:v>
                  </c:pt>
                  <c:pt idx="28">
                    <c:v>10</c:v>
                  </c:pt>
                  <c:pt idx="29">
                    <c:v>3</c:v>
                  </c:pt>
                </c:lvl>
              </c:multiLvlStrCache>
            </c:multiLvlStrRef>
          </c:cat>
          <c:val>
            <c:numRef>
              <c:f>'Næringsattt 2000-2013'!$D$2:$D$31</c:f>
              <c:numCache>
                <c:formatCode>0.0</c:formatCode>
                <c:ptCount val="30"/>
                <c:pt idx="0">
                  <c:v>-3.2090856552868487</c:v>
                </c:pt>
                <c:pt idx="1">
                  <c:v>-4.1940712054782745</c:v>
                </c:pt>
                <c:pt idx="2">
                  <c:v>2.0362102958004198</c:v>
                </c:pt>
                <c:pt idx="3">
                  <c:v>-2.8965937172194005</c:v>
                </c:pt>
                <c:pt idx="4">
                  <c:v>-3.8597359968315934</c:v>
                </c:pt>
                <c:pt idx="5">
                  <c:v>-4.0789660339693432</c:v>
                </c:pt>
                <c:pt idx="6">
                  <c:v>-1.5428659999838312</c:v>
                </c:pt>
                <c:pt idx="7">
                  <c:v>-0.52707514829454094</c:v>
                </c:pt>
                <c:pt idx="8">
                  <c:v>-2.1621285390049731</c:v>
                </c:pt>
                <c:pt idx="9">
                  <c:v>0.43325765357942408</c:v>
                </c:pt>
                <c:pt idx="10">
                  <c:v>0.18034851920250308</c:v>
                </c:pt>
                <c:pt idx="11">
                  <c:v>-1.5709348972023678</c:v>
                </c:pt>
                <c:pt idx="12">
                  <c:v>-3.0023285781598785</c:v>
                </c:pt>
                <c:pt idx="13">
                  <c:v>-0.6932488003635312</c:v>
                </c:pt>
                <c:pt idx="14">
                  <c:v>-2.6410256481396339</c:v>
                </c:pt>
                <c:pt idx="15">
                  <c:v>0.51353374228247817</c:v>
                </c:pt>
                <c:pt idx="16">
                  <c:v>-2.6998009863295329</c:v>
                </c:pt>
                <c:pt idx="17">
                  <c:v>1.9691343530512795</c:v>
                </c:pt>
                <c:pt idx="18">
                  <c:v>0.41419373480776372</c:v>
                </c:pt>
                <c:pt idx="19">
                  <c:v>0.39352670006868296</c:v>
                </c:pt>
                <c:pt idx="20">
                  <c:v>0.75045102072232861</c:v>
                </c:pt>
                <c:pt idx="21">
                  <c:v>-0.79996352719433472</c:v>
                </c:pt>
                <c:pt idx="22">
                  <c:v>0.32570455322676223</c:v>
                </c:pt>
                <c:pt idx="23">
                  <c:v>-0.19340754879417404</c:v>
                </c:pt>
                <c:pt idx="24">
                  <c:v>-1.38623868570963</c:v>
                </c:pt>
                <c:pt idx="25">
                  <c:v>-1.9916970864171979</c:v>
                </c:pt>
                <c:pt idx="26">
                  <c:v>2.3958437393840595</c:v>
                </c:pt>
                <c:pt idx="27">
                  <c:v>8.1186224709151595</c:v>
                </c:pt>
                <c:pt idx="28">
                  <c:v>0.16444485068048373</c:v>
                </c:pt>
                <c:pt idx="29">
                  <c:v>15.446419928133206</c:v>
                </c:pt>
              </c:numCache>
            </c:numRef>
          </c:val>
        </c:ser>
        <c:ser>
          <c:idx val="1"/>
          <c:order val="1"/>
          <c:tx>
            <c:strRef>
              <c:f>'Næringsattt 2000-2013'!$E$1</c:f>
              <c:strCache>
                <c:ptCount val="1"/>
                <c:pt idx="0">
                  <c:v>Besøk</c:v>
                </c:pt>
              </c:strCache>
            </c:strRef>
          </c:tx>
          <c:spPr>
            <a:solidFill>
              <a:srgbClr val="92D050"/>
            </a:solidFill>
            <a:ln>
              <a:noFill/>
            </a:ln>
            <a:effectLst/>
          </c:spPr>
          <c:cat>
            <c:multiLvlStrRef>
              <c:f>'Næringsattt 2000-2013'!$B$2:$C$31</c:f>
              <c:multiLvlStrCache>
                <c:ptCount val="30"/>
                <c:lvl>
                  <c:pt idx="0">
                    <c:v>Oslo</c:v>
                  </c:pt>
                  <c:pt idx="1">
                    <c:v>Øst-Telemark</c:v>
                  </c:pt>
                  <c:pt idx="2">
                    <c:v>Midt-Gudbrandsdal</c:v>
                  </c:pt>
                  <c:pt idx="3">
                    <c:v>Mosseregionen</c:v>
                  </c:pt>
                  <c:pt idx="4">
                    <c:v>Grenland</c:v>
                  </c:pt>
                  <c:pt idx="5">
                    <c:v>Nedre Glomma</c:v>
                  </c:pt>
                  <c:pt idx="6">
                    <c:v>Nord-Gudbrandsdal</c:v>
                  </c:pt>
                  <c:pt idx="7">
                    <c:v>Lillehammerregionen</c:v>
                  </c:pt>
                  <c:pt idx="8">
                    <c:v>Sør Østerdal</c:v>
                  </c:pt>
                  <c:pt idx="9">
                    <c:v>Halden (Region)</c:v>
                  </c:pt>
                  <c:pt idx="10">
                    <c:v>Valdres</c:v>
                  </c:pt>
                  <c:pt idx="11">
                    <c:v>Hallingdal</c:v>
                  </c:pt>
                  <c:pt idx="12">
                    <c:v>Gjøvikregionen</c:v>
                  </c:pt>
                  <c:pt idx="13">
                    <c:v>Hamarregionen</c:v>
                  </c:pt>
                  <c:pt idx="14">
                    <c:v>Glåmdal</c:v>
                  </c:pt>
                  <c:pt idx="15">
                    <c:v>Fjellregionen</c:v>
                  </c:pt>
                  <c:pt idx="16">
                    <c:v>Ringerike/Hole</c:v>
                  </c:pt>
                  <c:pt idx="17">
                    <c:v>Midt-Telemark</c:v>
                  </c:pt>
                  <c:pt idx="18">
                    <c:v>Tønsbergregionen</c:v>
                  </c:pt>
                  <c:pt idx="19">
                    <c:v>Sandefjord/Larvik</c:v>
                  </c:pt>
                  <c:pt idx="20">
                    <c:v>Indre Østfold</c:v>
                  </c:pt>
                  <c:pt idx="21">
                    <c:v>Hadeland</c:v>
                  </c:pt>
                  <c:pt idx="22">
                    <c:v>Midt-Buskerud</c:v>
                  </c:pt>
                  <c:pt idx="23">
                    <c:v>Drammensregionen</c:v>
                  </c:pt>
                  <c:pt idx="24">
                    <c:v>Follo</c:v>
                  </c:pt>
                  <c:pt idx="25">
                    <c:v>Nedre Romerike</c:v>
                  </c:pt>
                  <c:pt idx="26">
                    <c:v>Vest-Telemark</c:v>
                  </c:pt>
                  <c:pt idx="27">
                    <c:v>Akershus Vest</c:v>
                  </c:pt>
                  <c:pt idx="28">
                    <c:v>Øvre Romerike</c:v>
                  </c:pt>
                  <c:pt idx="29">
                    <c:v>Kongsberg/Numedal</c:v>
                  </c:pt>
                </c:lvl>
                <c:lvl>
                  <c:pt idx="0">
                    <c:v>83</c:v>
                  </c:pt>
                  <c:pt idx="1">
                    <c:v>82</c:v>
                  </c:pt>
                  <c:pt idx="2">
                    <c:v>80</c:v>
                  </c:pt>
                  <c:pt idx="3">
                    <c:v>78</c:v>
                  </c:pt>
                  <c:pt idx="4">
                    <c:v>77</c:v>
                  </c:pt>
                  <c:pt idx="5">
                    <c:v>76</c:v>
                  </c:pt>
                  <c:pt idx="6">
                    <c:v>75</c:v>
                  </c:pt>
                  <c:pt idx="7">
                    <c:v>74</c:v>
                  </c:pt>
                  <c:pt idx="8">
                    <c:v>73</c:v>
                  </c:pt>
                  <c:pt idx="9">
                    <c:v>71</c:v>
                  </c:pt>
                  <c:pt idx="10">
                    <c:v>70</c:v>
                  </c:pt>
                  <c:pt idx="11">
                    <c:v>69</c:v>
                  </c:pt>
                  <c:pt idx="12">
                    <c:v>66</c:v>
                  </c:pt>
                  <c:pt idx="13">
                    <c:v>64</c:v>
                  </c:pt>
                  <c:pt idx="14">
                    <c:v>61</c:v>
                  </c:pt>
                  <c:pt idx="15">
                    <c:v>58</c:v>
                  </c:pt>
                  <c:pt idx="16">
                    <c:v>57</c:v>
                  </c:pt>
                  <c:pt idx="17">
                    <c:v>53</c:v>
                  </c:pt>
                  <c:pt idx="18">
                    <c:v>51</c:v>
                  </c:pt>
                  <c:pt idx="19">
                    <c:v>48</c:v>
                  </c:pt>
                  <c:pt idx="20">
                    <c:v>43</c:v>
                  </c:pt>
                  <c:pt idx="21">
                    <c:v>42</c:v>
                  </c:pt>
                  <c:pt idx="22">
                    <c:v>38</c:v>
                  </c:pt>
                  <c:pt idx="23">
                    <c:v>23</c:v>
                  </c:pt>
                  <c:pt idx="24">
                    <c:v>22</c:v>
                  </c:pt>
                  <c:pt idx="25">
                    <c:v>21</c:v>
                  </c:pt>
                  <c:pt idx="26">
                    <c:v>18</c:v>
                  </c:pt>
                  <c:pt idx="27">
                    <c:v>14</c:v>
                  </c:pt>
                  <c:pt idx="28">
                    <c:v>10</c:v>
                  </c:pt>
                  <c:pt idx="29">
                    <c:v>3</c:v>
                  </c:pt>
                </c:lvl>
              </c:multiLvlStrCache>
            </c:multiLvlStrRef>
          </c:cat>
          <c:val>
            <c:numRef>
              <c:f>'Næringsattt 2000-2013'!$E$2:$E$31</c:f>
              <c:numCache>
                <c:formatCode>0.0</c:formatCode>
                <c:ptCount val="30"/>
                <c:pt idx="0">
                  <c:v>-1.4330703368156168</c:v>
                </c:pt>
                <c:pt idx="1">
                  <c:v>0.39631769617154783</c:v>
                </c:pt>
                <c:pt idx="2">
                  <c:v>-2.287470565305572</c:v>
                </c:pt>
                <c:pt idx="3">
                  <c:v>6.1129765388770942E-2</c:v>
                </c:pt>
                <c:pt idx="4">
                  <c:v>0.16986815897545884</c:v>
                </c:pt>
                <c:pt idx="5">
                  <c:v>-0.5193781290576136</c:v>
                </c:pt>
                <c:pt idx="6">
                  <c:v>-1.5013634660497839</c:v>
                </c:pt>
                <c:pt idx="7">
                  <c:v>-1.2838915252236838</c:v>
                </c:pt>
                <c:pt idx="8">
                  <c:v>6.3857295689207227E-2</c:v>
                </c:pt>
                <c:pt idx="9">
                  <c:v>-1.6177028269011888</c:v>
                </c:pt>
                <c:pt idx="10">
                  <c:v>0.17771415693372822</c:v>
                </c:pt>
                <c:pt idx="11">
                  <c:v>-2.2679377540102861</c:v>
                </c:pt>
                <c:pt idx="12">
                  <c:v>0.14322058683016067</c:v>
                </c:pt>
                <c:pt idx="13">
                  <c:v>-0.1898941761186084</c:v>
                </c:pt>
                <c:pt idx="14">
                  <c:v>2.4519691038691768E-2</c:v>
                </c:pt>
                <c:pt idx="15">
                  <c:v>0.38096591097076743</c:v>
                </c:pt>
                <c:pt idx="16">
                  <c:v>-1.0898098098727882</c:v>
                </c:pt>
                <c:pt idx="17">
                  <c:v>-2.2069042538847348</c:v>
                </c:pt>
                <c:pt idx="18">
                  <c:v>-0.23089128575336867</c:v>
                </c:pt>
                <c:pt idx="19">
                  <c:v>-0.58536961900433049</c:v>
                </c:pt>
                <c:pt idx="20">
                  <c:v>-0.70744411870555834</c:v>
                </c:pt>
                <c:pt idx="21">
                  <c:v>0.34973269633784593</c:v>
                </c:pt>
                <c:pt idx="22">
                  <c:v>0.52035318136156916</c:v>
                </c:pt>
                <c:pt idx="23">
                  <c:v>0.40060620196213165</c:v>
                </c:pt>
                <c:pt idx="24">
                  <c:v>0.68403128703096949</c:v>
                </c:pt>
                <c:pt idx="25">
                  <c:v>-0.18788517315572661</c:v>
                </c:pt>
                <c:pt idx="26">
                  <c:v>1.8540884589298381</c:v>
                </c:pt>
                <c:pt idx="27">
                  <c:v>1.0704902701585288</c:v>
                </c:pt>
                <c:pt idx="28">
                  <c:v>0.4383635282946835</c:v>
                </c:pt>
                <c:pt idx="29">
                  <c:v>-4.7013330193711886E-2</c:v>
                </c:pt>
              </c:numCache>
            </c:numRef>
          </c:val>
        </c:ser>
        <c:ser>
          <c:idx val="2"/>
          <c:order val="2"/>
          <c:tx>
            <c:strRef>
              <c:f>'Næringsattt 2000-2013'!$F$1</c:f>
              <c:strCache>
                <c:ptCount val="1"/>
                <c:pt idx="0">
                  <c:v>Regional</c:v>
                </c:pt>
              </c:strCache>
            </c:strRef>
          </c:tx>
          <c:spPr>
            <a:solidFill>
              <a:srgbClr val="00B0F0"/>
            </a:solidFill>
            <a:ln>
              <a:noFill/>
            </a:ln>
            <a:effectLst/>
          </c:spPr>
          <c:cat>
            <c:multiLvlStrRef>
              <c:f>'Næringsattt 2000-2013'!$B$2:$C$31</c:f>
              <c:multiLvlStrCache>
                <c:ptCount val="30"/>
                <c:lvl>
                  <c:pt idx="0">
                    <c:v>Oslo</c:v>
                  </c:pt>
                  <c:pt idx="1">
                    <c:v>Øst-Telemark</c:v>
                  </c:pt>
                  <c:pt idx="2">
                    <c:v>Midt-Gudbrandsdal</c:v>
                  </c:pt>
                  <c:pt idx="3">
                    <c:v>Mosseregionen</c:v>
                  </c:pt>
                  <c:pt idx="4">
                    <c:v>Grenland</c:v>
                  </c:pt>
                  <c:pt idx="5">
                    <c:v>Nedre Glomma</c:v>
                  </c:pt>
                  <c:pt idx="6">
                    <c:v>Nord-Gudbrandsdal</c:v>
                  </c:pt>
                  <c:pt idx="7">
                    <c:v>Lillehammerregionen</c:v>
                  </c:pt>
                  <c:pt idx="8">
                    <c:v>Sør Østerdal</c:v>
                  </c:pt>
                  <c:pt idx="9">
                    <c:v>Halden (Region)</c:v>
                  </c:pt>
                  <c:pt idx="10">
                    <c:v>Valdres</c:v>
                  </c:pt>
                  <c:pt idx="11">
                    <c:v>Hallingdal</c:v>
                  </c:pt>
                  <c:pt idx="12">
                    <c:v>Gjøvikregionen</c:v>
                  </c:pt>
                  <c:pt idx="13">
                    <c:v>Hamarregionen</c:v>
                  </c:pt>
                  <c:pt idx="14">
                    <c:v>Glåmdal</c:v>
                  </c:pt>
                  <c:pt idx="15">
                    <c:v>Fjellregionen</c:v>
                  </c:pt>
                  <c:pt idx="16">
                    <c:v>Ringerike/Hole</c:v>
                  </c:pt>
                  <c:pt idx="17">
                    <c:v>Midt-Telemark</c:v>
                  </c:pt>
                  <c:pt idx="18">
                    <c:v>Tønsbergregionen</c:v>
                  </c:pt>
                  <c:pt idx="19">
                    <c:v>Sandefjord/Larvik</c:v>
                  </c:pt>
                  <c:pt idx="20">
                    <c:v>Indre Østfold</c:v>
                  </c:pt>
                  <c:pt idx="21">
                    <c:v>Hadeland</c:v>
                  </c:pt>
                  <c:pt idx="22">
                    <c:v>Midt-Buskerud</c:v>
                  </c:pt>
                  <c:pt idx="23">
                    <c:v>Drammensregionen</c:v>
                  </c:pt>
                  <c:pt idx="24">
                    <c:v>Follo</c:v>
                  </c:pt>
                  <c:pt idx="25">
                    <c:v>Nedre Romerike</c:v>
                  </c:pt>
                  <c:pt idx="26">
                    <c:v>Vest-Telemark</c:v>
                  </c:pt>
                  <c:pt idx="27">
                    <c:v>Akershus Vest</c:v>
                  </c:pt>
                  <c:pt idx="28">
                    <c:v>Øvre Romerike</c:v>
                  </c:pt>
                  <c:pt idx="29">
                    <c:v>Kongsberg/Numedal</c:v>
                  </c:pt>
                </c:lvl>
                <c:lvl>
                  <c:pt idx="0">
                    <c:v>83</c:v>
                  </c:pt>
                  <c:pt idx="1">
                    <c:v>82</c:v>
                  </c:pt>
                  <c:pt idx="2">
                    <c:v>80</c:v>
                  </c:pt>
                  <c:pt idx="3">
                    <c:v>78</c:v>
                  </c:pt>
                  <c:pt idx="4">
                    <c:v>77</c:v>
                  </c:pt>
                  <c:pt idx="5">
                    <c:v>76</c:v>
                  </c:pt>
                  <c:pt idx="6">
                    <c:v>75</c:v>
                  </c:pt>
                  <c:pt idx="7">
                    <c:v>74</c:v>
                  </c:pt>
                  <c:pt idx="8">
                    <c:v>73</c:v>
                  </c:pt>
                  <c:pt idx="9">
                    <c:v>71</c:v>
                  </c:pt>
                  <c:pt idx="10">
                    <c:v>70</c:v>
                  </c:pt>
                  <c:pt idx="11">
                    <c:v>69</c:v>
                  </c:pt>
                  <c:pt idx="12">
                    <c:v>66</c:v>
                  </c:pt>
                  <c:pt idx="13">
                    <c:v>64</c:v>
                  </c:pt>
                  <c:pt idx="14">
                    <c:v>61</c:v>
                  </c:pt>
                  <c:pt idx="15">
                    <c:v>58</c:v>
                  </c:pt>
                  <c:pt idx="16">
                    <c:v>57</c:v>
                  </c:pt>
                  <c:pt idx="17">
                    <c:v>53</c:v>
                  </c:pt>
                  <c:pt idx="18">
                    <c:v>51</c:v>
                  </c:pt>
                  <c:pt idx="19">
                    <c:v>48</c:v>
                  </c:pt>
                  <c:pt idx="20">
                    <c:v>43</c:v>
                  </c:pt>
                  <c:pt idx="21">
                    <c:v>42</c:v>
                  </c:pt>
                  <c:pt idx="22">
                    <c:v>38</c:v>
                  </c:pt>
                  <c:pt idx="23">
                    <c:v>23</c:v>
                  </c:pt>
                  <c:pt idx="24">
                    <c:v>22</c:v>
                  </c:pt>
                  <c:pt idx="25">
                    <c:v>21</c:v>
                  </c:pt>
                  <c:pt idx="26">
                    <c:v>18</c:v>
                  </c:pt>
                  <c:pt idx="27">
                    <c:v>14</c:v>
                  </c:pt>
                  <c:pt idx="28">
                    <c:v>10</c:v>
                  </c:pt>
                  <c:pt idx="29">
                    <c:v>3</c:v>
                  </c:pt>
                </c:lvl>
              </c:multiLvlStrCache>
            </c:multiLvlStrRef>
          </c:cat>
          <c:val>
            <c:numRef>
              <c:f>'Næringsattt 2000-2013'!$F$2:$F$31</c:f>
              <c:numCache>
                <c:formatCode>0.0</c:formatCode>
                <c:ptCount val="30"/>
                <c:pt idx="0">
                  <c:v>-9.0105529753126596</c:v>
                </c:pt>
                <c:pt idx="1">
                  <c:v>-5.7617716636219951</c:v>
                </c:pt>
                <c:pt idx="2">
                  <c:v>-6.3267345208822467</c:v>
                </c:pt>
                <c:pt idx="3">
                  <c:v>-2.1473933558311331</c:v>
                </c:pt>
                <c:pt idx="4">
                  <c:v>-1.2407731511544635</c:v>
                </c:pt>
                <c:pt idx="5">
                  <c:v>-0.32798632225694052</c:v>
                </c:pt>
                <c:pt idx="6">
                  <c:v>-1.7775754440108249</c:v>
                </c:pt>
                <c:pt idx="7">
                  <c:v>-2.7776078992777746</c:v>
                </c:pt>
                <c:pt idx="8">
                  <c:v>-2.4545227422278004</c:v>
                </c:pt>
                <c:pt idx="9">
                  <c:v>-2.9211791985057358</c:v>
                </c:pt>
                <c:pt idx="10">
                  <c:v>-4.3822438436842104</c:v>
                </c:pt>
                <c:pt idx="11">
                  <c:v>-7.820254225074165E-2</c:v>
                </c:pt>
                <c:pt idx="12">
                  <c:v>-0.55617426079189425</c:v>
                </c:pt>
                <c:pt idx="13">
                  <c:v>-2.2835629005535658</c:v>
                </c:pt>
                <c:pt idx="14">
                  <c:v>-0.24811939201230457</c:v>
                </c:pt>
                <c:pt idx="15">
                  <c:v>-2.6518263126082378</c:v>
                </c:pt>
                <c:pt idx="16">
                  <c:v>2.1490766889346271</c:v>
                </c:pt>
                <c:pt idx="17">
                  <c:v>-0.95608512080778296</c:v>
                </c:pt>
                <c:pt idx="18">
                  <c:v>-1.2230471441713124</c:v>
                </c:pt>
                <c:pt idx="19">
                  <c:v>-0.3975116155324438</c:v>
                </c:pt>
                <c:pt idx="20">
                  <c:v>0.58370803615353573</c:v>
                </c:pt>
                <c:pt idx="21">
                  <c:v>1.3946245018964509</c:v>
                </c:pt>
                <c:pt idx="22">
                  <c:v>1.1570945244747024</c:v>
                </c:pt>
                <c:pt idx="23">
                  <c:v>3.3411433804863835</c:v>
                </c:pt>
                <c:pt idx="24">
                  <c:v>4.3451052045970266</c:v>
                </c:pt>
                <c:pt idx="25">
                  <c:v>5.8752152167099494</c:v>
                </c:pt>
                <c:pt idx="26">
                  <c:v>0.34733137405903081</c:v>
                </c:pt>
                <c:pt idx="27">
                  <c:v>-3.0279849900188807</c:v>
                </c:pt>
                <c:pt idx="28">
                  <c:v>7.2091673949920434</c:v>
                </c:pt>
                <c:pt idx="29">
                  <c:v>-2.6000330140854415</c:v>
                </c:pt>
              </c:numCache>
            </c:numRef>
          </c:val>
        </c:ser>
        <c:gapWidth val="30"/>
        <c:overlap val="100"/>
        <c:axId val="250583296"/>
        <c:axId val="250593280"/>
      </c:barChart>
      <c:catAx>
        <c:axId val="250583296"/>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593280"/>
        <c:crosses val="autoZero"/>
        <c:auto val="1"/>
        <c:lblAlgn val="ctr"/>
        <c:lblOffset val="100"/>
      </c:catAx>
      <c:valAx>
        <c:axId val="250593280"/>
        <c:scaling>
          <c:orientation val="minMax"/>
          <c:max val="16"/>
          <c:min val="-15"/>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583296"/>
        <c:crosses val="autoZero"/>
        <c:crossBetween val="between"/>
        <c:majorUnit val="5"/>
      </c:valAx>
      <c:spPr>
        <a:noFill/>
        <a:ln>
          <a:noFill/>
        </a:ln>
        <a:effectLst/>
      </c:spPr>
    </c:plotArea>
    <c:legend>
      <c:legendPos val="b"/>
      <c:layout>
        <c:manualLayout>
          <c:xMode val="edge"/>
          <c:yMode val="edge"/>
          <c:x val="0.73904415794179601"/>
          <c:y val="0.47421214590364735"/>
          <c:w val="0.19956736177208628"/>
          <c:h val="0.149186913073691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75512369464468E-2"/>
          <c:y val="0.15310755549424759"/>
          <c:w val="0.87731881387167054"/>
          <c:h val="0.73404449996773913"/>
        </c:manualLayout>
      </c:layout>
      <c:barChart>
        <c:barDir val="col"/>
        <c:grouping val="stacked"/>
        <c:ser>
          <c:idx val="1"/>
          <c:order val="1"/>
          <c:tx>
            <c:strRef>
              <c:f>'Attraktivitet næring tid'!$I$30</c:f>
              <c:strCache>
                <c:ptCount val="1"/>
                <c:pt idx="0">
                  <c:v>Strukturelle faktorer</c:v>
                </c:pt>
              </c:strCache>
            </c:strRef>
          </c:tx>
          <c:spPr>
            <a:solidFill>
              <a:schemeClr val="tx1"/>
            </a:solidFill>
            <a:ln>
              <a:noFill/>
            </a:ln>
            <a:effectLst/>
          </c:spPr>
          <c:cat>
            <c:numRef>
              <c:f>'Attraktivitet næring tid'!$X$28:$AH$28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'Attraktivitet næring tid'!$X$30:$AH$30</c:f>
              <c:numCache>
                <c:formatCode>#,##0.0</c:formatCode>
                <c:ptCount val="11"/>
                <c:pt idx="0">
                  <c:v>-0.39072000487683584</c:v>
                </c:pt>
                <c:pt idx="1">
                  <c:v>-0.22459119044358802</c:v>
                </c:pt>
                <c:pt idx="2">
                  <c:v>2.4736217180555096E-3</c:v>
                </c:pt>
                <c:pt idx="3">
                  <c:v>-0.2310583333130467</c:v>
                </c:pt>
                <c:pt idx="4">
                  <c:v>-0.25703118709061706</c:v>
                </c:pt>
                <c:pt idx="5">
                  <c:v>-0.2981864277144195</c:v>
                </c:pt>
                <c:pt idx="6">
                  <c:v>-0.40948748020793213</c:v>
                </c:pt>
                <c:pt idx="7">
                  <c:v>-0.50910569733882438</c:v>
                </c:pt>
                <c:pt idx="8">
                  <c:v>-0.62210483128834881</c:v>
                </c:pt>
                <c:pt idx="9">
                  <c:v>-0.62195775573571854</c:v>
                </c:pt>
                <c:pt idx="10">
                  <c:v>-0.6109732428657656</c:v>
                </c:pt>
              </c:numCache>
            </c:numRef>
          </c:val>
        </c:ser>
        <c:ser>
          <c:idx val="2"/>
          <c:order val="2"/>
          <c:tx>
            <c:strRef>
              <c:f>'Attraktivitet næring tid'!$I$31</c:f>
              <c:strCache>
                <c:ptCount val="1"/>
                <c:pt idx="0">
                  <c:v>Nasjonalt bidrag</c:v>
                </c:pt>
              </c:strCache>
            </c:strRef>
          </c:tx>
          <c:spPr>
            <a:solidFill>
              <a:schemeClr val="bg1">
                <a:lumMod val="50000"/>
              </a:schemeClr>
            </a:solidFill>
            <a:ln>
              <a:noFill/>
            </a:ln>
            <a:effectLst/>
          </c:spPr>
          <c:cat>
            <c:numRef>
              <c:f>'Attraktivitet næring tid'!$X$28:$AH$28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'Attraktivitet næring tid'!$X$31:$AH$31</c:f>
              <c:numCache>
                <c:formatCode>#,##0.0</c:formatCode>
                <c:ptCount val="11"/>
                <c:pt idx="0">
                  <c:v>-0.29878934474539154</c:v>
                </c:pt>
                <c:pt idx="1">
                  <c:v>-0.31459954465843881</c:v>
                </c:pt>
                <c:pt idx="2">
                  <c:v>6.1929111027555349E-2</c:v>
                </c:pt>
                <c:pt idx="3">
                  <c:v>1.0971696030952534</c:v>
                </c:pt>
                <c:pt idx="4">
                  <c:v>1.8521726485865313</c:v>
                </c:pt>
                <c:pt idx="5">
                  <c:v>1.8305028633539562</c:v>
                </c:pt>
                <c:pt idx="6">
                  <c:v>0.61027782643507977</c:v>
                </c:pt>
                <c:pt idx="7">
                  <c:v>-0.19074409550566818</c:v>
                </c:pt>
                <c:pt idx="8">
                  <c:v>-0.25728016703440337</c:v>
                </c:pt>
                <c:pt idx="9">
                  <c:v>0.47812789276764972</c:v>
                </c:pt>
                <c:pt idx="10">
                  <c:v>0.58750844675672342</c:v>
                </c:pt>
              </c:numCache>
            </c:numRef>
          </c:val>
        </c:ser>
        <c:ser>
          <c:idx val="3"/>
          <c:order val="3"/>
          <c:tx>
            <c:strRef>
              <c:f>'Attraktivitet næring tid'!$I$32</c:f>
              <c:strCache>
                <c:ptCount val="1"/>
                <c:pt idx="0">
                  <c:v>Basis attraktivitet</c:v>
                </c:pt>
              </c:strCache>
            </c:strRef>
          </c:tx>
          <c:spPr>
            <a:solidFill>
              <a:schemeClr val="accent2"/>
            </a:solidFill>
            <a:ln>
              <a:noFill/>
            </a:ln>
            <a:effectLst/>
          </c:spPr>
          <c:cat>
            <c:numRef>
              <c:f>'Attraktivitet næring tid'!$X$28:$AH$28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'Attraktivitet næring tid'!$X$32:$AH$32</c:f>
              <c:numCache>
                <c:formatCode>#,##0.0</c:formatCode>
                <c:ptCount val="11"/>
                <c:pt idx="0">
                  <c:v>-0.27101728947268355</c:v>
                </c:pt>
                <c:pt idx="1">
                  <c:v>-0.35016583514180522</c:v>
                </c:pt>
                <c:pt idx="2">
                  <c:v>-0.1749281229184193</c:v>
                </c:pt>
                <c:pt idx="3">
                  <c:v>-0.26173221557064941</c:v>
                </c:pt>
                <c:pt idx="4">
                  <c:v>-0.29985065629322716</c:v>
                </c:pt>
                <c:pt idx="5">
                  <c:v>-0.22750410462013834</c:v>
                </c:pt>
                <c:pt idx="6">
                  <c:v>-0.29686422092536685</c:v>
                </c:pt>
                <c:pt idx="7">
                  <c:v>-0.34251381873055115</c:v>
                </c:pt>
                <c:pt idx="8">
                  <c:v>-0.37218742381291942</c:v>
                </c:pt>
                <c:pt idx="9">
                  <c:v>-6.6170774676854047E-2</c:v>
                </c:pt>
                <c:pt idx="10">
                  <c:v>3.3229852649199386E-2</c:v>
                </c:pt>
              </c:numCache>
            </c:numRef>
          </c:val>
        </c:ser>
        <c:ser>
          <c:idx val="4"/>
          <c:order val="4"/>
          <c:tx>
            <c:strRef>
              <c:f>'Attraktivitet næring tid'!$I$33</c:f>
              <c:strCache>
                <c:ptCount val="1"/>
                <c:pt idx="0">
                  <c:v>Besøksattraktivitet</c:v>
                </c:pt>
              </c:strCache>
            </c:strRef>
          </c:tx>
          <c:spPr>
            <a:solidFill>
              <a:srgbClr val="00B050"/>
            </a:solidFill>
            <a:ln>
              <a:noFill/>
            </a:ln>
            <a:effectLst/>
          </c:spPr>
          <c:cat>
            <c:numRef>
              <c:f>'Attraktivitet næring tid'!$X$28:$AH$28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'Attraktivitet næring tid'!$X$33:$AH$33</c:f>
              <c:numCache>
                <c:formatCode>#,##0.0</c:formatCode>
                <c:ptCount val="11"/>
                <c:pt idx="0">
                  <c:v>0.2994378457676265</c:v>
                </c:pt>
                <c:pt idx="1">
                  <c:v>0.13734583173931139</c:v>
                </c:pt>
                <c:pt idx="2">
                  <c:v>-6.9056320776871129E-3</c:v>
                </c:pt>
                <c:pt idx="3">
                  <c:v>-0.21945303405959476</c:v>
                </c:pt>
                <c:pt idx="4">
                  <c:v>-0.39264302675369639</c:v>
                </c:pt>
                <c:pt idx="5">
                  <c:v>-0.20204275735372293</c:v>
                </c:pt>
                <c:pt idx="6">
                  <c:v>2.3682394986980475E-2</c:v>
                </c:pt>
                <c:pt idx="7">
                  <c:v>0.23912623800438521</c:v>
                </c:pt>
                <c:pt idx="8">
                  <c:v>0.1103449373561184</c:v>
                </c:pt>
                <c:pt idx="9">
                  <c:v>-6.0904533513432564E-2</c:v>
                </c:pt>
                <c:pt idx="10">
                  <c:v>-7.9121713754493936E-2</c:v>
                </c:pt>
              </c:numCache>
            </c:numRef>
          </c:val>
        </c:ser>
        <c:ser>
          <c:idx val="5"/>
          <c:order val="5"/>
          <c:tx>
            <c:strRef>
              <c:f>'Attraktivitet næring tid'!$I$34</c:f>
              <c:strCache>
                <c:ptCount val="1"/>
                <c:pt idx="0">
                  <c:v>Regional attraktivitet</c:v>
                </c:pt>
              </c:strCache>
            </c:strRef>
          </c:tx>
          <c:spPr>
            <a:solidFill>
              <a:schemeClr val="accent1"/>
            </a:solidFill>
            <a:ln>
              <a:noFill/>
            </a:ln>
            <a:effectLst/>
          </c:spPr>
          <c:cat>
            <c:numRef>
              <c:f>'Attraktivitet næring tid'!$X$28:$AH$28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'Attraktivitet næring tid'!$X$34:$AH$34</c:f>
              <c:numCache>
                <c:formatCode>#,##0.0</c:formatCode>
                <c:ptCount val="11"/>
                <c:pt idx="0">
                  <c:v>0.16705193045087574</c:v>
                </c:pt>
                <c:pt idx="1">
                  <c:v>0.43964319471122654</c:v>
                </c:pt>
                <c:pt idx="2">
                  <c:v>0.22832477757474332</c:v>
                </c:pt>
                <c:pt idx="3">
                  <c:v>0.37534849348001204</c:v>
                </c:pt>
                <c:pt idx="4">
                  <c:v>-4.4784389971662494E-2</c:v>
                </c:pt>
                <c:pt idx="5">
                  <c:v>9.9479118489797055E-2</c:v>
                </c:pt>
                <c:pt idx="6">
                  <c:v>-0.35120920974865555</c:v>
                </c:pt>
                <c:pt idx="7">
                  <c:v>-0.36778682310622934</c:v>
                </c:pt>
                <c:pt idx="8">
                  <c:v>-0.6114186573917092</c:v>
                </c:pt>
                <c:pt idx="9">
                  <c:v>-0.17288806054344122</c:v>
                </c:pt>
                <c:pt idx="10">
                  <c:v>-0.25887180648938152</c:v>
                </c:pt>
              </c:numCache>
            </c:numRef>
          </c:val>
        </c:ser>
        <c:gapWidth val="30"/>
        <c:overlap val="100"/>
        <c:axId val="250611584"/>
        <c:axId val="250613120"/>
      </c:barChart>
      <c:lineChart>
        <c:grouping val="standard"/>
        <c:ser>
          <c:idx val="0"/>
          <c:order val="0"/>
          <c:tx>
            <c:strRef>
              <c:f>'Attraktivitet næring tid'!$I$29</c:f>
              <c:strCache>
                <c:ptCount val="1"/>
                <c:pt idx="0">
                  <c:v>Arbeidsplassvekst</c:v>
                </c:pt>
              </c:strCache>
            </c:strRef>
          </c:tx>
          <c:spPr>
            <a:ln w="76200" cap="rnd" cmpd="tri">
              <a:solidFill>
                <a:srgbClr val="FFC000"/>
              </a:solidFill>
              <a:prstDash val="solid"/>
              <a:round/>
            </a:ln>
            <a:effectLst/>
          </c:spPr>
          <c:marker>
            <c:symbol val="none"/>
          </c:marker>
          <c:cat>
            <c:numRef>
              <c:f>'Attraktivitet næring tid'!$X$28:$AH$28</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'Attraktivitet næring tid'!$X$29:$AH$29</c:f>
              <c:numCache>
                <c:formatCode>#,##0.0</c:formatCode>
                <c:ptCount val="11"/>
                <c:pt idx="0">
                  <c:v>-0.49403686287640886</c:v>
                </c:pt>
                <c:pt idx="1">
                  <c:v>-0.31236754379329434</c:v>
                </c:pt>
                <c:pt idx="2">
                  <c:v>0.11089375532424765</c:v>
                </c:pt>
                <c:pt idx="3">
                  <c:v>0.76027451363197485</c:v>
                </c:pt>
                <c:pt idx="4">
                  <c:v>0.8578633884773279</c:v>
                </c:pt>
                <c:pt idx="5">
                  <c:v>1.2022486921554714</c:v>
                </c:pt>
                <c:pt idx="6">
                  <c:v>-0.42360068945989471</c:v>
                </c:pt>
                <c:pt idx="7">
                  <c:v>-1.1710241966768873</c:v>
                </c:pt>
                <c:pt idx="8">
                  <c:v>-1.752646142171262</c:v>
                </c:pt>
                <c:pt idx="9">
                  <c:v>-0.44379323170179669</c:v>
                </c:pt>
                <c:pt idx="10">
                  <c:v>-0.328228463703718</c:v>
                </c:pt>
              </c:numCache>
            </c:numRef>
          </c:val>
          <c:smooth val="1"/>
        </c:ser>
        <c:marker val="1"/>
        <c:axId val="250611584"/>
        <c:axId val="250613120"/>
      </c:lineChart>
      <c:catAx>
        <c:axId val="250611584"/>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613120"/>
        <c:crosses val="autoZero"/>
        <c:auto val="1"/>
        <c:lblAlgn val="ctr"/>
        <c:lblOffset val="100"/>
      </c:catAx>
      <c:valAx>
        <c:axId val="250613120"/>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611584"/>
        <c:crosses val="autoZero"/>
        <c:crossBetween val="between"/>
      </c:valAx>
      <c:spPr>
        <a:noFill/>
        <a:ln>
          <a:noFill/>
        </a:ln>
        <a:effectLst/>
      </c:spPr>
    </c:plotArea>
    <c:legend>
      <c:legendPos val="t"/>
      <c:layout>
        <c:manualLayout>
          <c:xMode val="edge"/>
          <c:yMode val="edge"/>
          <c:x val="4.8641870129791306E-3"/>
          <c:y val="4.083050225453249E-4"/>
          <c:w val="0.99513575696654943"/>
          <c:h val="0.1354475137998625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lang val="nb-NO"/>
  <c:style val="4"/>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Utpendling!$H$1</c:f>
              <c:strCache>
                <c:ptCount val="1"/>
                <c:pt idx="0">
                  <c:v>2013</c:v>
                </c:pt>
              </c:strCache>
            </c:strRef>
          </c:tx>
          <c:spPr>
            <a:solidFill>
              <a:schemeClr val="accent2">
                <a:shade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Utpendling!$G$3:$G$10</c:f>
              <c:strCache>
                <c:ptCount val="8"/>
                <c:pt idx="0">
                  <c:v>Oslo (Region)</c:v>
                </c:pt>
                <c:pt idx="1">
                  <c:v>Øvre Romerike</c:v>
                </c:pt>
                <c:pt idx="2">
                  <c:v>Nedre Romerike</c:v>
                </c:pt>
                <c:pt idx="3">
                  <c:v>Sør Østerdal</c:v>
                </c:pt>
                <c:pt idx="4">
                  <c:v>Hamarregionen</c:v>
                </c:pt>
                <c:pt idx="5">
                  <c:v>Akershus Vest</c:v>
                </c:pt>
                <c:pt idx="6">
                  <c:v>Follo</c:v>
                </c:pt>
                <c:pt idx="7">
                  <c:v>Trondheimsregionen</c:v>
                </c:pt>
              </c:strCache>
            </c:strRef>
          </c:cat>
          <c:val>
            <c:numRef>
              <c:f>Utpendling!$H$3:$H$10</c:f>
              <c:numCache>
                <c:formatCode>#,##0</c:formatCode>
                <c:ptCount val="8"/>
                <c:pt idx="0">
                  <c:v>1868</c:v>
                </c:pt>
                <c:pt idx="1">
                  <c:v>1186</c:v>
                </c:pt>
                <c:pt idx="2">
                  <c:v>597</c:v>
                </c:pt>
                <c:pt idx="3">
                  <c:v>535</c:v>
                </c:pt>
                <c:pt idx="4">
                  <c:v>412</c:v>
                </c:pt>
                <c:pt idx="5">
                  <c:v>184</c:v>
                </c:pt>
                <c:pt idx="6">
                  <c:v>81</c:v>
                </c:pt>
                <c:pt idx="7">
                  <c:v>64</c:v>
                </c:pt>
              </c:numCache>
            </c:numRef>
          </c:val>
        </c:ser>
        <c:ser>
          <c:idx val="1"/>
          <c:order val="1"/>
          <c:tx>
            <c:strRef>
              <c:f>Utpendling!$I$1</c:f>
              <c:strCache>
                <c:ptCount val="1"/>
                <c:pt idx="0">
                  <c:v>2009</c:v>
                </c:pt>
              </c:strCache>
            </c:strRef>
          </c:tx>
          <c:spPr>
            <a:solidFill>
              <a:schemeClr val="accent2">
                <a:shade val="86000"/>
              </a:schemeClr>
            </a:solidFill>
            <a:ln>
              <a:noFill/>
            </a:ln>
            <a:effectLst/>
          </c:spPr>
          <c:cat>
            <c:strRef>
              <c:f>Utpendling!$G$3:$G$10</c:f>
              <c:strCache>
                <c:ptCount val="8"/>
                <c:pt idx="0">
                  <c:v>Oslo (Region)</c:v>
                </c:pt>
                <c:pt idx="1">
                  <c:v>Øvre Romerike</c:v>
                </c:pt>
                <c:pt idx="2">
                  <c:v>Nedre Romerike</c:v>
                </c:pt>
                <c:pt idx="3">
                  <c:v>Sør Østerdal</c:v>
                </c:pt>
                <c:pt idx="4">
                  <c:v>Hamarregionen</c:v>
                </c:pt>
                <c:pt idx="5">
                  <c:v>Akershus Vest</c:v>
                </c:pt>
                <c:pt idx="6">
                  <c:v>Follo</c:v>
                </c:pt>
                <c:pt idx="7">
                  <c:v>Trondheimsregionen</c:v>
                </c:pt>
              </c:strCache>
            </c:strRef>
          </c:cat>
          <c:val>
            <c:numRef>
              <c:f>Utpendling!$I$3:$I$10</c:f>
              <c:numCache>
                <c:formatCode>#,##0</c:formatCode>
                <c:ptCount val="8"/>
                <c:pt idx="0">
                  <c:v>1994</c:v>
                </c:pt>
                <c:pt idx="1">
                  <c:v>1107</c:v>
                </c:pt>
                <c:pt idx="2">
                  <c:v>562</c:v>
                </c:pt>
                <c:pt idx="3">
                  <c:v>487</c:v>
                </c:pt>
                <c:pt idx="4">
                  <c:v>419</c:v>
                </c:pt>
                <c:pt idx="5">
                  <c:v>167</c:v>
                </c:pt>
                <c:pt idx="6">
                  <c:v>73</c:v>
                </c:pt>
                <c:pt idx="7">
                  <c:v>60</c:v>
                </c:pt>
              </c:numCache>
            </c:numRef>
          </c:val>
        </c:ser>
        <c:ser>
          <c:idx val="2"/>
          <c:order val="2"/>
          <c:tx>
            <c:strRef>
              <c:f>Utpendling!$J$1</c:f>
              <c:strCache>
                <c:ptCount val="1"/>
                <c:pt idx="0">
                  <c:v>2005</c:v>
                </c:pt>
              </c:strCache>
            </c:strRef>
          </c:tx>
          <c:spPr>
            <a:solidFill>
              <a:schemeClr val="accent2">
                <a:tint val="86000"/>
              </a:schemeClr>
            </a:solidFill>
            <a:ln>
              <a:noFill/>
            </a:ln>
            <a:effectLst/>
          </c:spPr>
          <c:cat>
            <c:strRef>
              <c:f>Utpendling!$G$3:$G$10</c:f>
              <c:strCache>
                <c:ptCount val="8"/>
                <c:pt idx="0">
                  <c:v>Oslo (Region)</c:v>
                </c:pt>
                <c:pt idx="1">
                  <c:v>Øvre Romerike</c:v>
                </c:pt>
                <c:pt idx="2">
                  <c:v>Nedre Romerike</c:v>
                </c:pt>
                <c:pt idx="3">
                  <c:v>Sør Østerdal</c:v>
                </c:pt>
                <c:pt idx="4">
                  <c:v>Hamarregionen</c:v>
                </c:pt>
                <c:pt idx="5">
                  <c:v>Akershus Vest</c:v>
                </c:pt>
                <c:pt idx="6">
                  <c:v>Follo</c:v>
                </c:pt>
                <c:pt idx="7">
                  <c:v>Trondheimsregionen</c:v>
                </c:pt>
              </c:strCache>
            </c:strRef>
          </c:cat>
          <c:val>
            <c:numRef>
              <c:f>Utpendling!$J$3:$J$10</c:f>
              <c:numCache>
                <c:formatCode>#,##0</c:formatCode>
                <c:ptCount val="8"/>
                <c:pt idx="0">
                  <c:v>2092</c:v>
                </c:pt>
                <c:pt idx="1">
                  <c:v>1005</c:v>
                </c:pt>
                <c:pt idx="2">
                  <c:v>589</c:v>
                </c:pt>
                <c:pt idx="3">
                  <c:v>435</c:v>
                </c:pt>
                <c:pt idx="4">
                  <c:v>338</c:v>
                </c:pt>
                <c:pt idx="5">
                  <c:v>206</c:v>
                </c:pt>
                <c:pt idx="6">
                  <c:v>62</c:v>
                </c:pt>
                <c:pt idx="7">
                  <c:v>48</c:v>
                </c:pt>
              </c:numCache>
            </c:numRef>
          </c:val>
        </c:ser>
        <c:ser>
          <c:idx val="3"/>
          <c:order val="3"/>
          <c:tx>
            <c:strRef>
              <c:f>Utpendling!$K$1</c:f>
              <c:strCache>
                <c:ptCount val="1"/>
                <c:pt idx="0">
                  <c:v>2001</c:v>
                </c:pt>
              </c:strCache>
            </c:strRef>
          </c:tx>
          <c:spPr>
            <a:solidFill>
              <a:schemeClr val="accent2">
                <a:tint val="58000"/>
              </a:schemeClr>
            </a:solidFill>
            <a:ln>
              <a:noFill/>
            </a:ln>
            <a:effectLst/>
          </c:spPr>
          <c:cat>
            <c:strRef>
              <c:f>Utpendling!$G$3:$G$10</c:f>
              <c:strCache>
                <c:ptCount val="8"/>
                <c:pt idx="0">
                  <c:v>Oslo (Region)</c:v>
                </c:pt>
                <c:pt idx="1">
                  <c:v>Øvre Romerike</c:v>
                </c:pt>
                <c:pt idx="2">
                  <c:v>Nedre Romerike</c:v>
                </c:pt>
                <c:pt idx="3">
                  <c:v>Sør Østerdal</c:v>
                </c:pt>
                <c:pt idx="4">
                  <c:v>Hamarregionen</c:v>
                </c:pt>
                <c:pt idx="5">
                  <c:v>Akershus Vest</c:v>
                </c:pt>
                <c:pt idx="6">
                  <c:v>Follo</c:v>
                </c:pt>
                <c:pt idx="7">
                  <c:v>Trondheimsregionen</c:v>
                </c:pt>
              </c:strCache>
            </c:strRef>
          </c:cat>
          <c:val>
            <c:numRef>
              <c:f>Utpendling!$K$3:$K$10</c:f>
              <c:numCache>
                <c:formatCode>#,##0</c:formatCode>
                <c:ptCount val="8"/>
                <c:pt idx="0">
                  <c:v>2607</c:v>
                </c:pt>
                <c:pt idx="1">
                  <c:v>1024</c:v>
                </c:pt>
                <c:pt idx="2">
                  <c:v>598</c:v>
                </c:pt>
                <c:pt idx="3">
                  <c:v>424</c:v>
                </c:pt>
                <c:pt idx="4">
                  <c:v>337</c:v>
                </c:pt>
                <c:pt idx="5">
                  <c:v>196</c:v>
                </c:pt>
                <c:pt idx="6">
                  <c:v>66</c:v>
                </c:pt>
                <c:pt idx="7">
                  <c:v>54</c:v>
                </c:pt>
              </c:numCache>
            </c:numRef>
          </c:val>
        </c:ser>
        <c:gapWidth val="182"/>
        <c:axId val="250657408"/>
        <c:axId val="250749312"/>
      </c:barChart>
      <c:catAx>
        <c:axId val="250657408"/>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749312"/>
        <c:crosses val="autoZero"/>
        <c:auto val="1"/>
        <c:lblAlgn val="ctr"/>
        <c:lblOffset val="100"/>
      </c:catAx>
      <c:valAx>
        <c:axId val="250749312"/>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65740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pivotSource>
    <c:name>[Kvartaldata v2kv2014.xlsm]Data for Sheet1 Chart 1!PivotTable1</c:name>
    <c:fmtId val="-1"/>
  </c:pivotSource>
  <c:chart>
    <c:pivotFmts>
      <c:pivotFmt>
        <c:idx val="0"/>
        <c:spPr>
          <a:solidFill>
            <a:srgbClr val="00B0F0"/>
          </a:solidFill>
        </c:spPr>
        <c:marker>
          <c:symbol val="none"/>
        </c:marker>
      </c:pivotFmt>
      <c:pivotFmt>
        <c:idx val="1"/>
        <c:spPr>
          <a:solidFill>
            <a:srgbClr val="FFC000"/>
          </a:solidFill>
        </c:spPr>
        <c:marker>
          <c:symbol val="none"/>
        </c:marker>
      </c:pivotFmt>
      <c:pivotFmt>
        <c:idx val="2"/>
        <c:spPr>
          <a:solidFill>
            <a:srgbClr val="92D050"/>
          </a:solidFill>
        </c:spPr>
        <c:marker>
          <c:symbol val="none"/>
        </c:marker>
      </c:pivotFmt>
      <c:pivotFmt>
        <c:idx val="3"/>
        <c:spPr>
          <a:solidFill>
            <a:srgbClr val="00B0F0"/>
          </a:solidFill>
        </c:spPr>
        <c:marker>
          <c:symbol val="none"/>
        </c:marker>
      </c:pivotFmt>
      <c:pivotFmt>
        <c:idx val="4"/>
        <c:spPr>
          <a:solidFill>
            <a:srgbClr val="FFC000"/>
          </a:solidFill>
        </c:spPr>
        <c:marker>
          <c:symbol val="none"/>
        </c:marker>
      </c:pivotFmt>
      <c:pivotFmt>
        <c:idx val="5"/>
        <c:spPr>
          <a:solidFill>
            <a:srgbClr val="92D050"/>
          </a:solidFill>
        </c:spPr>
        <c:marker>
          <c:symbol val="none"/>
        </c:marker>
      </c:pivotFmt>
      <c:pivotFmt>
        <c:idx val="6"/>
        <c:spPr>
          <a:solidFill>
            <a:srgbClr val="00B0F0"/>
          </a:solidFill>
        </c:spPr>
        <c:marker>
          <c:symbol val="none"/>
        </c:marker>
      </c:pivotFmt>
      <c:pivotFmt>
        <c:idx val="7"/>
        <c:spPr>
          <a:solidFill>
            <a:srgbClr val="FFC000"/>
          </a:solidFill>
        </c:spPr>
        <c:marker>
          <c:symbol val="none"/>
        </c:marker>
      </c:pivotFmt>
      <c:pivotFmt>
        <c:idx val="8"/>
        <c:spPr>
          <a:solidFill>
            <a:srgbClr val="92D050"/>
          </a:solidFill>
        </c:spPr>
        <c:marker>
          <c:symbol val="none"/>
        </c:marker>
      </c:pivotFmt>
    </c:pivotFmts>
    <c:plotArea>
      <c:layout>
        <c:manualLayout>
          <c:layoutTarget val="inner"/>
          <c:xMode val="edge"/>
          <c:yMode val="edge"/>
          <c:x val="7.5030755471954785E-2"/>
          <c:y val="0.12422211929391183"/>
          <c:w val="0.90555720954042429"/>
          <c:h val="0.78499882035328195"/>
        </c:manualLayout>
      </c:layout>
      <c:barChart>
        <c:barDir val="col"/>
        <c:grouping val="stacked"/>
        <c:ser>
          <c:idx val="0"/>
          <c:order val="0"/>
          <c:tx>
            <c:strRef>
              <c:f>'Data for Sheet1 Chart 1'!$B$1</c:f>
              <c:strCache>
                <c:ptCount val="1"/>
                <c:pt idx="0">
                  <c:v>Innenlands flytting</c:v>
                </c:pt>
              </c:strCache>
            </c:strRef>
          </c:tx>
          <c:spPr>
            <a:solidFill>
              <a:srgbClr val="00B0F0"/>
            </a:solidFill>
          </c:spPr>
          <c:cat>
            <c:strRef>
              <c:f>'Data for Sheet1 Chart 1'!$A$2:$A$60</c:f>
              <c:strCache>
                <c:ptCount val="58"/>
                <c:pt idx="0">
                  <c:v>2000K1</c:v>
                </c:pt>
                <c:pt idx="1">
                  <c:v>2000K2</c:v>
                </c:pt>
                <c:pt idx="2">
                  <c:v>2000K3</c:v>
                </c:pt>
                <c:pt idx="3">
                  <c:v>2000K4</c:v>
                </c:pt>
                <c:pt idx="4">
                  <c:v>2001K1</c:v>
                </c:pt>
                <c:pt idx="5">
                  <c:v>2001K2</c:v>
                </c:pt>
                <c:pt idx="6">
                  <c:v>2001K3</c:v>
                </c:pt>
                <c:pt idx="7">
                  <c:v>2001K4</c:v>
                </c:pt>
                <c:pt idx="8">
                  <c:v>2002K1</c:v>
                </c:pt>
                <c:pt idx="9">
                  <c:v>2002K2</c:v>
                </c:pt>
                <c:pt idx="10">
                  <c:v>2002K3</c:v>
                </c:pt>
                <c:pt idx="11">
                  <c:v>2002K4</c:v>
                </c:pt>
                <c:pt idx="12">
                  <c:v>2003K1</c:v>
                </c:pt>
                <c:pt idx="13">
                  <c:v>2003K2</c:v>
                </c:pt>
                <c:pt idx="14">
                  <c:v>2003K3</c:v>
                </c:pt>
                <c:pt idx="15">
                  <c:v>2003K4</c:v>
                </c:pt>
                <c:pt idx="16">
                  <c:v>2004K1</c:v>
                </c:pt>
                <c:pt idx="17">
                  <c:v>2004K2</c:v>
                </c:pt>
                <c:pt idx="18">
                  <c:v>2004K3</c:v>
                </c:pt>
                <c:pt idx="19">
                  <c:v>2004K4</c:v>
                </c:pt>
                <c:pt idx="20">
                  <c:v>2005K1</c:v>
                </c:pt>
                <c:pt idx="21">
                  <c:v>2005K2</c:v>
                </c:pt>
                <c:pt idx="22">
                  <c:v>2005K3</c:v>
                </c:pt>
                <c:pt idx="23">
                  <c:v>2005K4</c:v>
                </c:pt>
                <c:pt idx="24">
                  <c:v>2006K1</c:v>
                </c:pt>
                <c:pt idx="25">
                  <c:v>2006K2</c:v>
                </c:pt>
                <c:pt idx="26">
                  <c:v>2006K3</c:v>
                </c:pt>
                <c:pt idx="27">
                  <c:v>2006K4</c:v>
                </c:pt>
                <c:pt idx="28">
                  <c:v>2007K1</c:v>
                </c:pt>
                <c:pt idx="29">
                  <c:v>2007K2</c:v>
                </c:pt>
                <c:pt idx="30">
                  <c:v>2007K3</c:v>
                </c:pt>
                <c:pt idx="31">
                  <c:v>2007K4</c:v>
                </c:pt>
                <c:pt idx="32">
                  <c:v>2008K1</c:v>
                </c:pt>
                <c:pt idx="33">
                  <c:v>2008K2</c:v>
                </c:pt>
                <c:pt idx="34">
                  <c:v>2008K3</c:v>
                </c:pt>
                <c:pt idx="35">
                  <c:v>2008K4</c:v>
                </c:pt>
                <c:pt idx="36">
                  <c:v>2009K1</c:v>
                </c:pt>
                <c:pt idx="37">
                  <c:v>2009K2</c:v>
                </c:pt>
                <c:pt idx="38">
                  <c:v>2009K3</c:v>
                </c:pt>
                <c:pt idx="39">
                  <c:v>2009K4</c:v>
                </c:pt>
                <c:pt idx="40">
                  <c:v>2010K1</c:v>
                </c:pt>
                <c:pt idx="41">
                  <c:v>2010K2</c:v>
                </c:pt>
                <c:pt idx="42">
                  <c:v>2010K3</c:v>
                </c:pt>
                <c:pt idx="43">
                  <c:v>2010K4</c:v>
                </c:pt>
                <c:pt idx="44">
                  <c:v>2011K1</c:v>
                </c:pt>
                <c:pt idx="45">
                  <c:v>2011K2</c:v>
                </c:pt>
                <c:pt idx="46">
                  <c:v>2011K3</c:v>
                </c:pt>
                <c:pt idx="47">
                  <c:v>2011K4</c:v>
                </c:pt>
                <c:pt idx="48">
                  <c:v>2012K1</c:v>
                </c:pt>
                <c:pt idx="49">
                  <c:v>2012K2</c:v>
                </c:pt>
                <c:pt idx="50">
                  <c:v>2012K3</c:v>
                </c:pt>
                <c:pt idx="51">
                  <c:v>2012K4</c:v>
                </c:pt>
                <c:pt idx="52">
                  <c:v>2013K1</c:v>
                </c:pt>
                <c:pt idx="53">
                  <c:v>2013K2</c:v>
                </c:pt>
                <c:pt idx="54">
                  <c:v>2013K3</c:v>
                </c:pt>
                <c:pt idx="55">
                  <c:v>2013K4</c:v>
                </c:pt>
                <c:pt idx="56">
                  <c:v>2014K1</c:v>
                </c:pt>
                <c:pt idx="57">
                  <c:v>2014K2</c:v>
                </c:pt>
              </c:strCache>
            </c:strRef>
          </c:cat>
          <c:val>
            <c:numRef>
              <c:f>'Data for Sheet1 Chart 1'!$B$2:$B$60</c:f>
              <c:numCache>
                <c:formatCode>General</c:formatCode>
                <c:ptCount val="5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4.3982123905559824E-5</c:v>
                </c:pt>
                <c:pt idx="15">
                  <c:v>4.3934298892064869E-5</c:v>
                </c:pt>
                <c:pt idx="16">
                  <c:v>4.3878913505446928E-5</c:v>
                </c:pt>
                <c:pt idx="17">
                  <c:v>4.3810583191149766E-5</c:v>
                </c:pt>
                <c:pt idx="18">
                  <c:v>0</c:v>
                </c:pt>
                <c:pt idx="19">
                  <c:v>2.1846191018288114E-4</c:v>
                </c:pt>
                <c:pt idx="20">
                  <c:v>2.1821854237869567E-4</c:v>
                </c:pt>
                <c:pt idx="21">
                  <c:v>2.178835316654495E-4</c:v>
                </c:pt>
                <c:pt idx="22">
                  <c:v>2.1742902355669549E-4</c:v>
                </c:pt>
                <c:pt idx="23">
                  <c:v>0</c:v>
                </c:pt>
                <c:pt idx="24">
                  <c:v>0</c:v>
                </c:pt>
                <c:pt idx="25">
                  <c:v>0</c:v>
                </c:pt>
                <c:pt idx="26">
                  <c:v>-4.317976665222305E-5</c:v>
                </c:pt>
                <c:pt idx="27">
                  <c:v>-4.3101413963435809E-5</c:v>
                </c:pt>
                <c:pt idx="28">
                  <c:v>6.4525814842744179E-5</c:v>
                </c:pt>
                <c:pt idx="29">
                  <c:v>6.4372336460469931E-5</c:v>
                </c:pt>
                <c:pt idx="30">
                  <c:v>1.0702350300340062E-4</c:v>
                </c:pt>
                <c:pt idx="31">
                  <c:v>1.0681172553488116E-4</c:v>
                </c:pt>
                <c:pt idx="32">
                  <c:v>0</c:v>
                </c:pt>
                <c:pt idx="33">
                  <c:v>0</c:v>
                </c:pt>
                <c:pt idx="34">
                  <c:v>0</c:v>
                </c:pt>
                <c:pt idx="35">
                  <c:v>0</c:v>
                </c:pt>
                <c:pt idx="36">
                  <c:v>0</c:v>
                </c:pt>
                <c:pt idx="37">
                  <c:v>0</c:v>
                </c:pt>
                <c:pt idx="38">
                  <c:v>0</c:v>
                </c:pt>
                <c:pt idx="39">
                  <c:v>0</c:v>
                </c:pt>
                <c:pt idx="40">
                  <c:v>0</c:v>
                </c:pt>
                <c:pt idx="41">
                  <c:v>0</c:v>
                </c:pt>
                <c:pt idx="42">
                  <c:v>0</c:v>
                </c:pt>
                <c:pt idx="43">
                  <c:v>3.0052288924352429E-3</c:v>
                </c:pt>
                <c:pt idx="44">
                  <c:v>2.9959706247132275E-3</c:v>
                </c:pt>
                <c:pt idx="45">
                  <c:v>2.986932375441852E-3</c:v>
                </c:pt>
                <c:pt idx="46">
                  <c:v>2.97464603240286E-3</c:v>
                </c:pt>
                <c:pt idx="47">
                  <c:v>0</c:v>
                </c:pt>
                <c:pt idx="48">
                  <c:v>0</c:v>
                </c:pt>
                <c:pt idx="49">
                  <c:v>-2.0189857342505992E-5</c:v>
                </c:pt>
                <c:pt idx="50">
                  <c:v>-2.010846910404101E-5</c:v>
                </c:pt>
                <c:pt idx="51">
                  <c:v>-3.4096356302912035E-4</c:v>
                </c:pt>
                <c:pt idx="52">
                  <c:v>-3.3980006164372882E-4</c:v>
                </c:pt>
                <c:pt idx="53">
                  <c:v>-3.1888276235381727E-4</c:v>
                </c:pt>
                <c:pt idx="54">
                  <c:v>-3.1757770779159062E-4</c:v>
                </c:pt>
                <c:pt idx="55">
                  <c:v>0</c:v>
                </c:pt>
                <c:pt idx="56">
                  <c:v>0</c:v>
                </c:pt>
                <c:pt idx="57">
                  <c:v>0</c:v>
                </c:pt>
              </c:numCache>
            </c:numRef>
          </c:val>
        </c:ser>
        <c:ser>
          <c:idx val="1"/>
          <c:order val="1"/>
          <c:tx>
            <c:strRef>
              <c:f>'Data for Sheet1 Chart 1'!$C$1</c:f>
              <c:strCache>
                <c:ptCount val="1"/>
                <c:pt idx="0">
                  <c:v>Innvandring</c:v>
                </c:pt>
              </c:strCache>
            </c:strRef>
          </c:tx>
          <c:spPr>
            <a:solidFill>
              <a:srgbClr val="FFC000"/>
            </a:solidFill>
          </c:spPr>
          <c:cat>
            <c:strRef>
              <c:f>'Data for Sheet1 Chart 1'!$A$2:$A$60</c:f>
              <c:strCache>
                <c:ptCount val="58"/>
                <c:pt idx="0">
                  <c:v>2000K1</c:v>
                </c:pt>
                <c:pt idx="1">
                  <c:v>2000K2</c:v>
                </c:pt>
                <c:pt idx="2">
                  <c:v>2000K3</c:v>
                </c:pt>
                <c:pt idx="3">
                  <c:v>2000K4</c:v>
                </c:pt>
                <c:pt idx="4">
                  <c:v>2001K1</c:v>
                </c:pt>
                <c:pt idx="5">
                  <c:v>2001K2</c:v>
                </c:pt>
                <c:pt idx="6">
                  <c:v>2001K3</c:v>
                </c:pt>
                <c:pt idx="7">
                  <c:v>2001K4</c:v>
                </c:pt>
                <c:pt idx="8">
                  <c:v>2002K1</c:v>
                </c:pt>
                <c:pt idx="9">
                  <c:v>2002K2</c:v>
                </c:pt>
                <c:pt idx="10">
                  <c:v>2002K3</c:v>
                </c:pt>
                <c:pt idx="11">
                  <c:v>2002K4</c:v>
                </c:pt>
                <c:pt idx="12">
                  <c:v>2003K1</c:v>
                </c:pt>
                <c:pt idx="13">
                  <c:v>2003K2</c:v>
                </c:pt>
                <c:pt idx="14">
                  <c:v>2003K3</c:v>
                </c:pt>
                <c:pt idx="15">
                  <c:v>2003K4</c:v>
                </c:pt>
                <c:pt idx="16">
                  <c:v>2004K1</c:v>
                </c:pt>
                <c:pt idx="17">
                  <c:v>2004K2</c:v>
                </c:pt>
                <c:pt idx="18">
                  <c:v>2004K3</c:v>
                </c:pt>
                <c:pt idx="19">
                  <c:v>2004K4</c:v>
                </c:pt>
                <c:pt idx="20">
                  <c:v>2005K1</c:v>
                </c:pt>
                <c:pt idx="21">
                  <c:v>2005K2</c:v>
                </c:pt>
                <c:pt idx="22">
                  <c:v>2005K3</c:v>
                </c:pt>
                <c:pt idx="23">
                  <c:v>2005K4</c:v>
                </c:pt>
                <c:pt idx="24">
                  <c:v>2006K1</c:v>
                </c:pt>
                <c:pt idx="25">
                  <c:v>2006K2</c:v>
                </c:pt>
                <c:pt idx="26">
                  <c:v>2006K3</c:v>
                </c:pt>
                <c:pt idx="27">
                  <c:v>2006K4</c:v>
                </c:pt>
                <c:pt idx="28">
                  <c:v>2007K1</c:v>
                </c:pt>
                <c:pt idx="29">
                  <c:v>2007K2</c:v>
                </c:pt>
                <c:pt idx="30">
                  <c:v>2007K3</c:v>
                </c:pt>
                <c:pt idx="31">
                  <c:v>2007K4</c:v>
                </c:pt>
                <c:pt idx="32">
                  <c:v>2008K1</c:v>
                </c:pt>
                <c:pt idx="33">
                  <c:v>2008K2</c:v>
                </c:pt>
                <c:pt idx="34">
                  <c:v>2008K3</c:v>
                </c:pt>
                <c:pt idx="35">
                  <c:v>2008K4</c:v>
                </c:pt>
                <c:pt idx="36">
                  <c:v>2009K1</c:v>
                </c:pt>
                <c:pt idx="37">
                  <c:v>2009K2</c:v>
                </c:pt>
                <c:pt idx="38">
                  <c:v>2009K3</c:v>
                </c:pt>
                <c:pt idx="39">
                  <c:v>2009K4</c:v>
                </c:pt>
                <c:pt idx="40">
                  <c:v>2010K1</c:v>
                </c:pt>
                <c:pt idx="41">
                  <c:v>2010K2</c:v>
                </c:pt>
                <c:pt idx="42">
                  <c:v>2010K3</c:v>
                </c:pt>
                <c:pt idx="43">
                  <c:v>2010K4</c:v>
                </c:pt>
                <c:pt idx="44">
                  <c:v>2011K1</c:v>
                </c:pt>
                <c:pt idx="45">
                  <c:v>2011K2</c:v>
                </c:pt>
                <c:pt idx="46">
                  <c:v>2011K3</c:v>
                </c:pt>
                <c:pt idx="47">
                  <c:v>2011K4</c:v>
                </c:pt>
                <c:pt idx="48">
                  <c:v>2012K1</c:v>
                </c:pt>
                <c:pt idx="49">
                  <c:v>2012K2</c:v>
                </c:pt>
                <c:pt idx="50">
                  <c:v>2012K3</c:v>
                </c:pt>
                <c:pt idx="51">
                  <c:v>2012K4</c:v>
                </c:pt>
                <c:pt idx="52">
                  <c:v>2013K1</c:v>
                </c:pt>
                <c:pt idx="53">
                  <c:v>2013K2</c:v>
                </c:pt>
                <c:pt idx="54">
                  <c:v>2013K3</c:v>
                </c:pt>
                <c:pt idx="55">
                  <c:v>2013K4</c:v>
                </c:pt>
                <c:pt idx="56">
                  <c:v>2014K1</c:v>
                </c:pt>
                <c:pt idx="57">
                  <c:v>2014K2</c:v>
                </c:pt>
              </c:strCache>
            </c:strRef>
          </c:cat>
          <c:val>
            <c:numRef>
              <c:f>'Data for Sheet1 Chart 1'!$C$2:$C$60</c:f>
              <c:numCache>
                <c:formatCode>General</c:formatCode>
                <c:ptCount val="58"/>
                <c:pt idx="0">
                  <c:v>0.43339176742109781</c:v>
                </c:pt>
                <c:pt idx="1">
                  <c:v>0.43692886434821948</c:v>
                </c:pt>
                <c:pt idx="2">
                  <c:v>0.2951938286717819</c:v>
                </c:pt>
                <c:pt idx="3">
                  <c:v>0.22020780632430925</c:v>
                </c:pt>
                <c:pt idx="4">
                  <c:v>0.17464292634827036</c:v>
                </c:pt>
                <c:pt idx="5">
                  <c:v>0.11911931829563221</c:v>
                </c:pt>
                <c:pt idx="6">
                  <c:v>0.11586813561837588</c:v>
                </c:pt>
                <c:pt idx="7">
                  <c:v>0.17551043247866746</c:v>
                </c:pt>
                <c:pt idx="8">
                  <c:v>0.23831760151735318</c:v>
                </c:pt>
                <c:pt idx="9">
                  <c:v>0.30917644462377991</c:v>
                </c:pt>
                <c:pt idx="10">
                  <c:v>0.36077773989175133</c:v>
                </c:pt>
                <c:pt idx="11">
                  <c:v>0.3801005555621868</c:v>
                </c:pt>
                <c:pt idx="12">
                  <c:v>0.35939447262690832</c:v>
                </c:pt>
                <c:pt idx="13">
                  <c:v>0.32288748757002178</c:v>
                </c:pt>
                <c:pt idx="14">
                  <c:v>0.28245319972150518</c:v>
                </c:pt>
                <c:pt idx="15">
                  <c:v>0.24702059552063468</c:v>
                </c:pt>
                <c:pt idx="16">
                  <c:v>0.21342703529049387</c:v>
                </c:pt>
                <c:pt idx="17">
                  <c:v>0.20735549024371169</c:v>
                </c:pt>
                <c:pt idx="18">
                  <c:v>0.2422301354669355</c:v>
                </c:pt>
                <c:pt idx="19">
                  <c:v>0.28863187573362242</c:v>
                </c:pt>
                <c:pt idx="20">
                  <c:v>0.3239236043069359</c:v>
                </c:pt>
                <c:pt idx="21">
                  <c:v>0.35955140395432478</c:v>
                </c:pt>
                <c:pt idx="22">
                  <c:v>0.37419534954107259</c:v>
                </c:pt>
                <c:pt idx="23">
                  <c:v>0.39699433153661595</c:v>
                </c:pt>
                <c:pt idx="24">
                  <c:v>0.43348127412926551</c:v>
                </c:pt>
                <c:pt idx="25">
                  <c:v>0.47010591610713776</c:v>
                </c:pt>
                <c:pt idx="26">
                  <c:v>0.48309522930507132</c:v>
                </c:pt>
                <c:pt idx="27">
                  <c:v>0.51051469768991509</c:v>
                </c:pt>
                <c:pt idx="28">
                  <c:v>0.55644911859887825</c:v>
                </c:pt>
                <c:pt idx="29">
                  <c:v>0.60010037792998761</c:v>
                </c:pt>
                <c:pt idx="30">
                  <c:v>0.71896248847624411</c:v>
                </c:pt>
                <c:pt idx="31">
                  <c:v>0.84663246127968161</c:v>
                </c:pt>
                <c:pt idx="32">
                  <c:v>0.9500998293298939</c:v>
                </c:pt>
                <c:pt idx="33">
                  <c:v>0.99160965299082426</c:v>
                </c:pt>
                <c:pt idx="34">
                  <c:v>0.99304899589547668</c:v>
                </c:pt>
                <c:pt idx="35">
                  <c:v>0.91516645694233956</c:v>
                </c:pt>
                <c:pt idx="36">
                  <c:v>0.85286805811368083</c:v>
                </c:pt>
                <c:pt idx="37">
                  <c:v>0.7877631564876445</c:v>
                </c:pt>
                <c:pt idx="38">
                  <c:v>0.75502071121058423</c:v>
                </c:pt>
                <c:pt idx="39">
                  <c:v>0.80500044590281961</c:v>
                </c:pt>
                <c:pt idx="40">
                  <c:v>0.82924718777040651</c:v>
                </c:pt>
                <c:pt idx="41">
                  <c:v>0.86599419092364982</c:v>
                </c:pt>
                <c:pt idx="42">
                  <c:v>0.93165431674553512</c:v>
                </c:pt>
                <c:pt idx="43">
                  <c:v>0.87143404376807143</c:v>
                </c:pt>
                <c:pt idx="44">
                  <c:v>0.92070691773721292</c:v>
                </c:pt>
                <c:pt idx="45">
                  <c:v>0.93806043341616274</c:v>
                </c:pt>
                <c:pt idx="46">
                  <c:v>0.93774697457105505</c:v>
                </c:pt>
                <c:pt idx="47">
                  <c:v>0.9559976464873623</c:v>
                </c:pt>
                <c:pt idx="48">
                  <c:v>0.95668350797455681</c:v>
                </c:pt>
                <c:pt idx="49">
                  <c:v>0.94177608559853465</c:v>
                </c:pt>
                <c:pt idx="50">
                  <c:v>0.94314752638683585</c:v>
                </c:pt>
                <c:pt idx="51">
                  <c:v>0.9494230695946746</c:v>
                </c:pt>
                <c:pt idx="52">
                  <c:v>0.86647016895258833</c:v>
                </c:pt>
                <c:pt idx="53">
                  <c:v>0.84354455728908229</c:v>
                </c:pt>
                <c:pt idx="54">
                  <c:v>0.80617101122895252</c:v>
                </c:pt>
                <c:pt idx="55">
                  <c:v>0.79077064701486277</c:v>
                </c:pt>
                <c:pt idx="56">
                  <c:v>0.82147295589063241</c:v>
                </c:pt>
                <c:pt idx="57">
                  <c:v>0.80229658603985432</c:v>
                </c:pt>
              </c:numCache>
            </c:numRef>
          </c:val>
        </c:ser>
        <c:ser>
          <c:idx val="2"/>
          <c:order val="2"/>
          <c:tx>
            <c:strRef>
              <c:f>'Data for Sheet1 Chart 1'!$D$1</c:f>
              <c:strCache>
                <c:ptCount val="1"/>
                <c:pt idx="0">
                  <c:v>Fødsel</c:v>
                </c:pt>
              </c:strCache>
            </c:strRef>
          </c:tx>
          <c:spPr>
            <a:solidFill>
              <a:srgbClr val="92D050"/>
            </a:solidFill>
          </c:spPr>
          <c:cat>
            <c:strRef>
              <c:f>'Data for Sheet1 Chart 1'!$A$2:$A$60</c:f>
              <c:strCache>
                <c:ptCount val="58"/>
                <c:pt idx="0">
                  <c:v>2000K1</c:v>
                </c:pt>
                <c:pt idx="1">
                  <c:v>2000K2</c:v>
                </c:pt>
                <c:pt idx="2">
                  <c:v>2000K3</c:v>
                </c:pt>
                <c:pt idx="3">
                  <c:v>2000K4</c:v>
                </c:pt>
                <c:pt idx="4">
                  <c:v>2001K1</c:v>
                </c:pt>
                <c:pt idx="5">
                  <c:v>2001K2</c:v>
                </c:pt>
                <c:pt idx="6">
                  <c:v>2001K3</c:v>
                </c:pt>
                <c:pt idx="7">
                  <c:v>2001K4</c:v>
                </c:pt>
                <c:pt idx="8">
                  <c:v>2002K1</c:v>
                </c:pt>
                <c:pt idx="9">
                  <c:v>2002K2</c:v>
                </c:pt>
                <c:pt idx="10">
                  <c:v>2002K3</c:v>
                </c:pt>
                <c:pt idx="11">
                  <c:v>2002K4</c:v>
                </c:pt>
                <c:pt idx="12">
                  <c:v>2003K1</c:v>
                </c:pt>
                <c:pt idx="13">
                  <c:v>2003K2</c:v>
                </c:pt>
                <c:pt idx="14">
                  <c:v>2003K3</c:v>
                </c:pt>
                <c:pt idx="15">
                  <c:v>2003K4</c:v>
                </c:pt>
                <c:pt idx="16">
                  <c:v>2004K1</c:v>
                </c:pt>
                <c:pt idx="17">
                  <c:v>2004K2</c:v>
                </c:pt>
                <c:pt idx="18">
                  <c:v>2004K3</c:v>
                </c:pt>
                <c:pt idx="19">
                  <c:v>2004K4</c:v>
                </c:pt>
                <c:pt idx="20">
                  <c:v>2005K1</c:v>
                </c:pt>
                <c:pt idx="21">
                  <c:v>2005K2</c:v>
                </c:pt>
                <c:pt idx="22">
                  <c:v>2005K3</c:v>
                </c:pt>
                <c:pt idx="23">
                  <c:v>2005K4</c:v>
                </c:pt>
                <c:pt idx="24">
                  <c:v>2006K1</c:v>
                </c:pt>
                <c:pt idx="25">
                  <c:v>2006K2</c:v>
                </c:pt>
                <c:pt idx="26">
                  <c:v>2006K3</c:v>
                </c:pt>
                <c:pt idx="27">
                  <c:v>2006K4</c:v>
                </c:pt>
                <c:pt idx="28">
                  <c:v>2007K1</c:v>
                </c:pt>
                <c:pt idx="29">
                  <c:v>2007K2</c:v>
                </c:pt>
                <c:pt idx="30">
                  <c:v>2007K3</c:v>
                </c:pt>
                <c:pt idx="31">
                  <c:v>2007K4</c:v>
                </c:pt>
                <c:pt idx="32">
                  <c:v>2008K1</c:v>
                </c:pt>
                <c:pt idx="33">
                  <c:v>2008K2</c:v>
                </c:pt>
                <c:pt idx="34">
                  <c:v>2008K3</c:v>
                </c:pt>
                <c:pt idx="35">
                  <c:v>2008K4</c:v>
                </c:pt>
                <c:pt idx="36">
                  <c:v>2009K1</c:v>
                </c:pt>
                <c:pt idx="37">
                  <c:v>2009K2</c:v>
                </c:pt>
                <c:pt idx="38">
                  <c:v>2009K3</c:v>
                </c:pt>
                <c:pt idx="39">
                  <c:v>2009K4</c:v>
                </c:pt>
                <c:pt idx="40">
                  <c:v>2010K1</c:v>
                </c:pt>
                <c:pt idx="41">
                  <c:v>2010K2</c:v>
                </c:pt>
                <c:pt idx="42">
                  <c:v>2010K3</c:v>
                </c:pt>
                <c:pt idx="43">
                  <c:v>2010K4</c:v>
                </c:pt>
                <c:pt idx="44">
                  <c:v>2011K1</c:v>
                </c:pt>
                <c:pt idx="45">
                  <c:v>2011K2</c:v>
                </c:pt>
                <c:pt idx="46">
                  <c:v>2011K3</c:v>
                </c:pt>
                <c:pt idx="47">
                  <c:v>2011K4</c:v>
                </c:pt>
                <c:pt idx="48">
                  <c:v>2012K1</c:v>
                </c:pt>
                <c:pt idx="49">
                  <c:v>2012K2</c:v>
                </c:pt>
                <c:pt idx="50">
                  <c:v>2012K3</c:v>
                </c:pt>
                <c:pt idx="51">
                  <c:v>2012K4</c:v>
                </c:pt>
                <c:pt idx="52">
                  <c:v>2013K1</c:v>
                </c:pt>
                <c:pt idx="53">
                  <c:v>2013K2</c:v>
                </c:pt>
                <c:pt idx="54">
                  <c:v>2013K3</c:v>
                </c:pt>
                <c:pt idx="55">
                  <c:v>2013K4</c:v>
                </c:pt>
                <c:pt idx="56">
                  <c:v>2014K1</c:v>
                </c:pt>
                <c:pt idx="57">
                  <c:v>2014K2</c:v>
                </c:pt>
              </c:strCache>
            </c:strRef>
          </c:cat>
          <c:val>
            <c:numRef>
              <c:f>'Data for Sheet1 Chart 1'!$D$2:$D$60</c:f>
              <c:numCache>
                <c:formatCode>General</c:formatCode>
                <c:ptCount val="58"/>
                <c:pt idx="0">
                  <c:v>0.3290596245615478</c:v>
                </c:pt>
                <c:pt idx="1">
                  <c:v>0.32406958930256446</c:v>
                </c:pt>
                <c:pt idx="2">
                  <c:v>0.32407610255621538</c:v>
                </c:pt>
                <c:pt idx="3">
                  <c:v>0.3350454404680856</c:v>
                </c:pt>
                <c:pt idx="4">
                  <c:v>0.34266315745580578</c:v>
                </c:pt>
                <c:pt idx="5">
                  <c:v>0.32403926664164995</c:v>
                </c:pt>
                <c:pt idx="6">
                  <c:v>0.29572481017844382</c:v>
                </c:pt>
                <c:pt idx="7">
                  <c:v>0.27803215145058124</c:v>
                </c:pt>
                <c:pt idx="8">
                  <c:v>0.25732888183945818</c:v>
                </c:pt>
                <c:pt idx="9">
                  <c:v>0.25056742175917035</c:v>
                </c:pt>
                <c:pt idx="10">
                  <c:v>0.25200231092469527</c:v>
                </c:pt>
                <c:pt idx="11">
                  <c:v>0.23726444309167913</c:v>
                </c:pt>
                <c:pt idx="12">
                  <c:v>0.2441728077753875</c:v>
                </c:pt>
                <c:pt idx="13">
                  <c:v>0.25942932159474791</c:v>
                </c:pt>
                <c:pt idx="14">
                  <c:v>0.27532809564880473</c:v>
                </c:pt>
                <c:pt idx="15">
                  <c:v>0.30112568460621247</c:v>
                </c:pt>
                <c:pt idx="16">
                  <c:v>0.31996503728171888</c:v>
                </c:pt>
                <c:pt idx="17">
                  <c:v>0.32382592565738344</c:v>
                </c:pt>
                <c:pt idx="18">
                  <c:v>0.32694617273324483</c:v>
                </c:pt>
                <c:pt idx="19">
                  <c:v>0.33477103116424711</c:v>
                </c:pt>
                <c:pt idx="20">
                  <c:v>0.32470919105949914</c:v>
                </c:pt>
                <c:pt idx="21">
                  <c:v>0.32288160557502965</c:v>
                </c:pt>
                <c:pt idx="22">
                  <c:v>0.3265131646750894</c:v>
                </c:pt>
                <c:pt idx="23">
                  <c:v>0.32637462570796127</c:v>
                </c:pt>
                <c:pt idx="24">
                  <c:v>0.34938655733269536</c:v>
                </c:pt>
                <c:pt idx="25">
                  <c:v>0.3641400394131607</c:v>
                </c:pt>
                <c:pt idx="26">
                  <c:v>0.37050398775939991</c:v>
                </c:pt>
                <c:pt idx="27">
                  <c:v>0.37345220128618939</c:v>
                </c:pt>
                <c:pt idx="28">
                  <c:v>0.3534293964986574</c:v>
                </c:pt>
                <c:pt idx="29">
                  <c:v>0.35012113800849576</c:v>
                </c:pt>
                <c:pt idx="30">
                  <c:v>0.34799762236585741</c:v>
                </c:pt>
                <c:pt idx="31">
                  <c:v>0.35431585594430776</c:v>
                </c:pt>
                <c:pt idx="32">
                  <c:v>0.37448521338665836</c:v>
                </c:pt>
                <c:pt idx="33">
                  <c:v>0.38528470065189785</c:v>
                </c:pt>
                <c:pt idx="34">
                  <c:v>0.397956633528323</c:v>
                </c:pt>
                <c:pt idx="35">
                  <c:v>0.39969002596697489</c:v>
                </c:pt>
                <c:pt idx="36">
                  <c:v>0.38705146850457572</c:v>
                </c:pt>
                <c:pt idx="37">
                  <c:v>0.39892448700198152</c:v>
                </c:pt>
                <c:pt idx="38">
                  <c:v>0.41000446833218418</c:v>
                </c:pt>
                <c:pt idx="39">
                  <c:v>0.42402441047063177</c:v>
                </c:pt>
                <c:pt idx="40">
                  <c:v>0.43946672163810463</c:v>
                </c:pt>
                <c:pt idx="41">
                  <c:v>0.42801320968046785</c:v>
                </c:pt>
                <c:pt idx="42">
                  <c:v>0.42106884705894038</c:v>
                </c:pt>
                <c:pt idx="43">
                  <c:v>0.40961681479083101</c:v>
                </c:pt>
                <c:pt idx="44">
                  <c:v>0.39635049737216466</c:v>
                </c:pt>
                <c:pt idx="45">
                  <c:v>0.39488882678615511</c:v>
                </c:pt>
                <c:pt idx="46">
                  <c:v>0.38682622993973109</c:v>
                </c:pt>
                <c:pt idx="47">
                  <c:v>0.38196819099628998</c:v>
                </c:pt>
                <c:pt idx="48">
                  <c:v>0.37895474518787253</c:v>
                </c:pt>
                <c:pt idx="49">
                  <c:v>0.36658723976788143</c:v>
                </c:pt>
                <c:pt idx="50">
                  <c:v>0.37144364128984597</c:v>
                </c:pt>
                <c:pt idx="51">
                  <c:v>0.36567339300864266</c:v>
                </c:pt>
                <c:pt idx="52">
                  <c:v>0.35143321669529637</c:v>
                </c:pt>
                <c:pt idx="53">
                  <c:v>0.36111479819305092</c:v>
                </c:pt>
                <c:pt idx="54">
                  <c:v>0.35153867391855387</c:v>
                </c:pt>
                <c:pt idx="55">
                  <c:v>0.34973348313049685</c:v>
                </c:pt>
                <c:pt idx="56">
                  <c:v>0.37336268731082328</c:v>
                </c:pt>
                <c:pt idx="57">
                  <c:v>0.37360682721132282</c:v>
                </c:pt>
              </c:numCache>
            </c:numRef>
          </c:val>
        </c:ser>
        <c:gapWidth val="50"/>
        <c:overlap val="100"/>
        <c:axId val="200948736"/>
        <c:axId val="200958720"/>
      </c:barChart>
      <c:catAx>
        <c:axId val="200948736"/>
        <c:scaling>
          <c:orientation val="minMax"/>
        </c:scaling>
        <c:axPos val="b"/>
        <c:numFmt formatCode="General" sourceLinked="0"/>
        <c:majorTickMark val="none"/>
        <c:tickLblPos val="nextTo"/>
        <c:spPr>
          <a:ln>
            <a:solidFill>
              <a:schemeClr val="accent1">
                <a:lumMod val="20000"/>
                <a:lumOff val="80000"/>
              </a:schemeClr>
            </a:solidFill>
          </a:ln>
        </c:spPr>
        <c:txPr>
          <a:bodyPr rot="5400000" vert="horz"/>
          <a:lstStyle/>
          <a:p>
            <a:pPr>
              <a:defRPr/>
            </a:pPr>
            <a:endParaRPr lang="nb-NO"/>
          </a:p>
        </c:txPr>
        <c:crossAx val="200958720"/>
        <c:crossesAt val="-9999999"/>
        <c:auto val="1"/>
        <c:lblAlgn val="ctr"/>
        <c:lblOffset val="100"/>
        <c:tickLblSkip val="4"/>
        <c:tickMarkSkip val="4"/>
        <c:noMultiLvlLbl val="1"/>
      </c:catAx>
      <c:valAx>
        <c:axId val="200958720"/>
        <c:scaling>
          <c:orientation val="minMax"/>
        </c:scaling>
        <c:axPos val="l"/>
        <c:majorGridlines>
          <c:spPr>
            <a:ln>
              <a:solidFill>
                <a:schemeClr val="accent1">
                  <a:lumMod val="20000"/>
                  <a:lumOff val="80000"/>
                </a:schemeClr>
              </a:solidFill>
            </a:ln>
          </c:spPr>
        </c:majorGridlines>
        <c:numFmt formatCode="General" sourceLinked="1"/>
        <c:tickLblPos val="nextTo"/>
        <c:spPr>
          <a:ln>
            <a:noFill/>
          </a:ln>
        </c:spPr>
        <c:crossAx val="200948736"/>
        <c:crosses val="autoZero"/>
        <c:crossBetween val="between"/>
      </c:valAx>
    </c:plotArea>
    <c:legend>
      <c:legendPos val="t"/>
      <c:layout>
        <c:manualLayout>
          <c:xMode val="edge"/>
          <c:yMode val="edge"/>
          <c:x val="0.10895738332109685"/>
          <c:y val="1.2678290540497818E-2"/>
          <c:w val="0.77524164269885487"/>
          <c:h val="5.9340555854857882E-2"/>
        </c:manualLayout>
      </c:layout>
    </c:legend>
    <c:plotVisOnly val="1"/>
    <c:dispBlanksAs val="gap"/>
  </c:chart>
  <c:spPr>
    <a:ln>
      <a:noFill/>
    </a:ln>
  </c:spPr>
  <c:txPr>
    <a:bodyPr/>
    <a:lstStyle/>
    <a:p>
      <a:pPr>
        <a:defRPr sz="800">
          <a:latin typeface="Arial" pitchFamily="34" charset="0"/>
          <a:cs typeface="Arial"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nb-NO"/>
  <c:style val="3"/>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Innpendling!$K$1</c:f>
              <c:strCache>
                <c:ptCount val="1"/>
                <c:pt idx="0">
                  <c:v>2013</c:v>
                </c:pt>
              </c:strCache>
            </c:strRef>
          </c:tx>
          <c:spPr>
            <a:solidFill>
              <a:schemeClr val="accent1">
                <a:shade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Innpendling!$J$3:$J$10</c:f>
              <c:strCache>
                <c:ptCount val="8"/>
                <c:pt idx="0">
                  <c:v>Øvre Romerike</c:v>
                </c:pt>
                <c:pt idx="1">
                  <c:v>Sør Østerdal</c:v>
                </c:pt>
                <c:pt idx="2">
                  <c:v>Oslo (Region)</c:v>
                </c:pt>
                <c:pt idx="3">
                  <c:v>Hamarregionen</c:v>
                </c:pt>
                <c:pt idx="4">
                  <c:v>Nedre Romerike</c:v>
                </c:pt>
                <c:pt idx="5">
                  <c:v>Akershus Vest</c:v>
                </c:pt>
                <c:pt idx="6">
                  <c:v>Follo</c:v>
                </c:pt>
                <c:pt idx="7">
                  <c:v>Grenland</c:v>
                </c:pt>
              </c:strCache>
            </c:strRef>
          </c:cat>
          <c:val>
            <c:numRef>
              <c:f>Innpendling!$K$3:$K$10</c:f>
              <c:numCache>
                <c:formatCode>#,##0</c:formatCode>
                <c:ptCount val="8"/>
                <c:pt idx="0">
                  <c:v>411</c:v>
                </c:pt>
                <c:pt idx="1">
                  <c:v>351</c:v>
                </c:pt>
                <c:pt idx="2">
                  <c:v>248</c:v>
                </c:pt>
                <c:pt idx="3">
                  <c:v>184</c:v>
                </c:pt>
                <c:pt idx="4">
                  <c:v>125</c:v>
                </c:pt>
                <c:pt idx="5">
                  <c:v>40</c:v>
                </c:pt>
                <c:pt idx="6">
                  <c:v>35</c:v>
                </c:pt>
                <c:pt idx="7">
                  <c:v>28</c:v>
                </c:pt>
              </c:numCache>
            </c:numRef>
          </c:val>
        </c:ser>
        <c:ser>
          <c:idx val="1"/>
          <c:order val="1"/>
          <c:tx>
            <c:strRef>
              <c:f>Innpendling!$L$1</c:f>
              <c:strCache>
                <c:ptCount val="1"/>
                <c:pt idx="0">
                  <c:v>2009</c:v>
                </c:pt>
              </c:strCache>
            </c:strRef>
          </c:tx>
          <c:spPr>
            <a:solidFill>
              <a:schemeClr val="accent1">
                <a:shade val="86000"/>
              </a:schemeClr>
            </a:solidFill>
            <a:ln>
              <a:noFill/>
            </a:ln>
            <a:effectLst/>
          </c:spPr>
          <c:cat>
            <c:strRef>
              <c:f>Innpendling!$J$3:$J$10</c:f>
              <c:strCache>
                <c:ptCount val="8"/>
                <c:pt idx="0">
                  <c:v>Øvre Romerike</c:v>
                </c:pt>
                <c:pt idx="1">
                  <c:v>Sør Østerdal</c:v>
                </c:pt>
                <c:pt idx="2">
                  <c:v>Oslo (Region)</c:v>
                </c:pt>
                <c:pt idx="3">
                  <c:v>Hamarregionen</c:v>
                </c:pt>
                <c:pt idx="4">
                  <c:v>Nedre Romerike</c:v>
                </c:pt>
                <c:pt idx="5">
                  <c:v>Akershus Vest</c:v>
                </c:pt>
                <c:pt idx="6">
                  <c:v>Follo</c:v>
                </c:pt>
                <c:pt idx="7">
                  <c:v>Grenland</c:v>
                </c:pt>
              </c:strCache>
            </c:strRef>
          </c:cat>
          <c:val>
            <c:numRef>
              <c:f>Innpendling!$L$3:$L$10</c:f>
              <c:numCache>
                <c:formatCode>#,##0</c:formatCode>
                <c:ptCount val="8"/>
                <c:pt idx="0">
                  <c:v>345</c:v>
                </c:pt>
                <c:pt idx="1">
                  <c:v>335</c:v>
                </c:pt>
                <c:pt idx="2">
                  <c:v>218</c:v>
                </c:pt>
                <c:pt idx="3">
                  <c:v>130</c:v>
                </c:pt>
                <c:pt idx="4">
                  <c:v>96</c:v>
                </c:pt>
                <c:pt idx="5">
                  <c:v>40</c:v>
                </c:pt>
                <c:pt idx="6">
                  <c:v>33</c:v>
                </c:pt>
                <c:pt idx="7">
                  <c:v>20</c:v>
                </c:pt>
              </c:numCache>
            </c:numRef>
          </c:val>
        </c:ser>
        <c:ser>
          <c:idx val="2"/>
          <c:order val="2"/>
          <c:tx>
            <c:strRef>
              <c:f>Innpendling!$M$1</c:f>
              <c:strCache>
                <c:ptCount val="1"/>
                <c:pt idx="0">
                  <c:v>2005</c:v>
                </c:pt>
              </c:strCache>
            </c:strRef>
          </c:tx>
          <c:spPr>
            <a:solidFill>
              <a:schemeClr val="accent1">
                <a:tint val="86000"/>
              </a:schemeClr>
            </a:solidFill>
            <a:ln>
              <a:noFill/>
            </a:ln>
            <a:effectLst/>
          </c:spPr>
          <c:cat>
            <c:strRef>
              <c:f>Innpendling!$J$3:$J$10</c:f>
              <c:strCache>
                <c:ptCount val="8"/>
                <c:pt idx="0">
                  <c:v>Øvre Romerike</c:v>
                </c:pt>
                <c:pt idx="1">
                  <c:v>Sør Østerdal</c:v>
                </c:pt>
                <c:pt idx="2">
                  <c:v>Oslo (Region)</c:v>
                </c:pt>
                <c:pt idx="3">
                  <c:v>Hamarregionen</c:v>
                </c:pt>
                <c:pt idx="4">
                  <c:v>Nedre Romerike</c:v>
                </c:pt>
                <c:pt idx="5">
                  <c:v>Akershus Vest</c:v>
                </c:pt>
                <c:pt idx="6">
                  <c:v>Follo</c:v>
                </c:pt>
                <c:pt idx="7">
                  <c:v>Grenland</c:v>
                </c:pt>
              </c:strCache>
            </c:strRef>
          </c:cat>
          <c:val>
            <c:numRef>
              <c:f>Innpendling!$M$3:$M$10</c:f>
              <c:numCache>
                <c:formatCode>#,##0</c:formatCode>
                <c:ptCount val="8"/>
                <c:pt idx="0">
                  <c:v>359</c:v>
                </c:pt>
                <c:pt idx="1">
                  <c:v>267</c:v>
                </c:pt>
                <c:pt idx="2">
                  <c:v>152</c:v>
                </c:pt>
                <c:pt idx="3">
                  <c:v>109</c:v>
                </c:pt>
                <c:pt idx="4">
                  <c:v>87</c:v>
                </c:pt>
                <c:pt idx="5">
                  <c:v>33</c:v>
                </c:pt>
                <c:pt idx="6">
                  <c:v>29</c:v>
                </c:pt>
                <c:pt idx="7">
                  <c:v>22</c:v>
                </c:pt>
              </c:numCache>
            </c:numRef>
          </c:val>
        </c:ser>
        <c:ser>
          <c:idx val="3"/>
          <c:order val="3"/>
          <c:tx>
            <c:strRef>
              <c:f>Innpendling!$N$1</c:f>
              <c:strCache>
                <c:ptCount val="1"/>
                <c:pt idx="0">
                  <c:v>2001</c:v>
                </c:pt>
              </c:strCache>
            </c:strRef>
          </c:tx>
          <c:spPr>
            <a:solidFill>
              <a:schemeClr val="accent1">
                <a:tint val="58000"/>
              </a:schemeClr>
            </a:solidFill>
            <a:ln>
              <a:noFill/>
            </a:ln>
            <a:effectLst/>
          </c:spPr>
          <c:cat>
            <c:strRef>
              <c:f>Innpendling!$J$3:$J$10</c:f>
              <c:strCache>
                <c:ptCount val="8"/>
                <c:pt idx="0">
                  <c:v>Øvre Romerike</c:v>
                </c:pt>
                <c:pt idx="1">
                  <c:v>Sør Østerdal</c:v>
                </c:pt>
                <c:pt idx="2">
                  <c:v>Oslo (Region)</c:v>
                </c:pt>
                <c:pt idx="3">
                  <c:v>Hamarregionen</c:v>
                </c:pt>
                <c:pt idx="4">
                  <c:v>Nedre Romerike</c:v>
                </c:pt>
                <c:pt idx="5">
                  <c:v>Akershus Vest</c:v>
                </c:pt>
                <c:pt idx="6">
                  <c:v>Follo</c:v>
                </c:pt>
                <c:pt idx="7">
                  <c:v>Grenland</c:v>
                </c:pt>
              </c:strCache>
            </c:strRef>
          </c:cat>
          <c:val>
            <c:numRef>
              <c:f>Innpendling!$N$3:$N$10</c:f>
              <c:numCache>
                <c:formatCode>#,##0</c:formatCode>
                <c:ptCount val="8"/>
                <c:pt idx="0">
                  <c:v>323</c:v>
                </c:pt>
                <c:pt idx="1">
                  <c:v>282</c:v>
                </c:pt>
                <c:pt idx="2">
                  <c:v>142</c:v>
                </c:pt>
                <c:pt idx="3">
                  <c:v>208</c:v>
                </c:pt>
                <c:pt idx="4">
                  <c:v>93</c:v>
                </c:pt>
                <c:pt idx="5">
                  <c:v>21</c:v>
                </c:pt>
                <c:pt idx="6">
                  <c:v>33</c:v>
                </c:pt>
                <c:pt idx="7">
                  <c:v>26</c:v>
                </c:pt>
              </c:numCache>
            </c:numRef>
          </c:val>
        </c:ser>
        <c:gapWidth val="182"/>
        <c:axId val="251075968"/>
        <c:axId val="251094144"/>
      </c:barChart>
      <c:catAx>
        <c:axId val="251075968"/>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1094144"/>
        <c:crosses val="autoZero"/>
        <c:auto val="1"/>
        <c:lblAlgn val="ctr"/>
        <c:lblOffset val="100"/>
      </c:catAx>
      <c:valAx>
        <c:axId val="251094144"/>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107596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pivotSource>
    <c:name>[Glåmdal grunnmur.xlsx]Samlet pendling!Samlet pendling</c:name>
    <c:fmtId val="20"/>
  </c:pivotSource>
  <c:chart>
    <c:pivotFmts>
      <c:pivotFmt>
        <c:idx val="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layout>
            <c:manualLayout>
              <c:x val="-3.9860482035635478E-3"/>
              <c:y val="4.332840293119592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layout>
            <c:manualLayout>
              <c:x val="0"/>
              <c:y val="-3.54505114891603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layout>
            <c:manualLayout>
              <c:x val="-5.9790723053451074E-2"/>
              <c:y val="3.54505114891603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layout>
            <c:manualLayout>
              <c:x val="-4.7832578442760849E-2"/>
              <c:y val="-4.7267348652213735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layout>
            <c:manualLayout>
              <c:x val="-5.9790723053451074E-2"/>
              <c:y val="3.54505114891603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layout>
            <c:manualLayout>
              <c:x val="-3.9860482035635478E-3"/>
              <c:y val="4.332840293119592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
        <c:spPr>
          <a:solidFill>
            <a:schemeClr val="accent1"/>
          </a:solidFill>
          <a:ln w="28575" cap="rnd">
            <a:solidFill>
              <a:schemeClr val="accent2"/>
            </a:solidFill>
            <a:round/>
          </a:ln>
          <a:effectLst/>
        </c:spPr>
        <c:marker>
          <c:symbol val="none"/>
        </c:marker>
        <c:dLbl>
          <c:idx val="0"/>
          <c:layout>
            <c:manualLayout>
              <c:x val="-4.7832578442760849E-2"/>
              <c:y val="-4.7267348652213735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1"/>
        <c:spPr>
          <a:solidFill>
            <a:schemeClr val="accent1"/>
          </a:solidFill>
          <a:ln w="28575" cap="rnd">
            <a:solidFill>
              <a:schemeClr val="accent2"/>
            </a:solidFill>
            <a:round/>
          </a:ln>
          <a:effectLst/>
        </c:spPr>
        <c:marker>
          <c:symbol val="none"/>
        </c:marker>
        <c:dLbl>
          <c:idx val="0"/>
          <c:layout>
            <c:manualLayout>
              <c:x val="0"/>
              <c:y val="-3.54505114891603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layout>
            <c:manualLayout>
              <c:x val="-5.9790723053451074E-2"/>
              <c:y val="3.54505114891603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layout>
            <c:manualLayout>
              <c:x val="-3.9860482035635478E-3"/>
              <c:y val="4.332840293119592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6"/>
        <c:spPr>
          <a:solidFill>
            <a:schemeClr val="accent1"/>
          </a:solidFill>
          <a:ln w="28575" cap="rnd">
            <a:solidFill>
              <a:schemeClr val="accent2"/>
            </a:solidFill>
            <a:round/>
          </a:ln>
          <a:effectLst/>
        </c:spPr>
        <c:marker>
          <c:symbol val="none"/>
        </c:marker>
        <c:dLbl>
          <c:idx val="0"/>
          <c:layout>
            <c:manualLayout>
              <c:x val="-4.7832578442760849E-2"/>
              <c:y val="-4.7267348652213735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
        <c:spPr>
          <a:solidFill>
            <a:schemeClr val="accent1"/>
          </a:solidFill>
          <a:ln w="28575" cap="rnd">
            <a:solidFill>
              <a:schemeClr val="accent2"/>
            </a:solidFill>
            <a:round/>
          </a:ln>
          <a:effectLst/>
        </c:spPr>
        <c:marker>
          <c:symbol val="none"/>
        </c:marker>
        <c:dLbl>
          <c:idx val="0"/>
          <c:layout>
            <c:manualLayout>
              <c:x val="0"/>
              <c:y val="-3.54505114891603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s>
    <c:plotArea>
      <c:layout>
        <c:manualLayout>
          <c:layoutTarget val="inner"/>
          <c:xMode val="edge"/>
          <c:yMode val="edge"/>
          <c:x val="0.11601443569553803"/>
          <c:y val="0.15254410906969973"/>
          <c:w val="0.78700002165648264"/>
          <c:h val="0.69953885972586749"/>
        </c:manualLayout>
      </c:layout>
      <c:lineChart>
        <c:grouping val="standard"/>
        <c:ser>
          <c:idx val="0"/>
          <c:order val="0"/>
          <c:tx>
            <c:strRef>
              <c:f>'Samlet pendling'!$F$17</c:f>
              <c:strCache>
                <c:ptCount val="1"/>
                <c:pt idx="0">
                  <c:v>Innpendling</c:v>
                </c:pt>
              </c:strCache>
            </c:strRef>
          </c:tx>
          <c:spPr>
            <a:ln w="28575" cap="rnd">
              <a:solidFill>
                <a:schemeClr val="accent1"/>
              </a:solidFill>
              <a:round/>
            </a:ln>
            <a:effectLst/>
          </c:spPr>
          <c:marker>
            <c:symbol val="none"/>
          </c:marker>
          <c:dLbls>
            <c:dLbl>
              <c:idx val="0"/>
              <c:layout>
                <c:manualLayout>
                  <c:x val="-5.9790723053451074E-2"/>
                  <c:y val="3.545051148916032E-2"/>
                </c:manualLayout>
              </c:layout>
              <c:showVal val="1"/>
              <c:extLst>
                <c:ext xmlns:c15="http://schemas.microsoft.com/office/drawing/2012/chart" uri="{CE6537A1-D6FC-4f65-9D91-7224C49458BB}">
                  <c15:layout/>
                </c:ext>
              </c:extLst>
            </c:dLbl>
            <c:dLbl>
              <c:idx val="13"/>
              <c:layout>
                <c:manualLayout>
                  <c:x val="-3.9860482035635478E-3"/>
                  <c:y val="4.3328402931195921E-2"/>
                </c:manualLayout>
              </c:layout>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'Samlet pendling'!$E$18:$E$31</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'Samlet pendling'!$F$18:$F$31</c:f>
              <c:numCache>
                <c:formatCode>#,##0</c:formatCode>
                <c:ptCount val="14"/>
                <c:pt idx="0">
                  <c:v>1235</c:v>
                </c:pt>
                <c:pt idx="1">
                  <c:v>1502</c:v>
                </c:pt>
                <c:pt idx="2">
                  <c:v>1454</c:v>
                </c:pt>
                <c:pt idx="3">
                  <c:v>1371</c:v>
                </c:pt>
                <c:pt idx="4">
                  <c:v>1405</c:v>
                </c:pt>
                <c:pt idx="5">
                  <c:v>1319</c:v>
                </c:pt>
                <c:pt idx="6">
                  <c:v>1405</c:v>
                </c:pt>
                <c:pt idx="7">
                  <c:v>1533</c:v>
                </c:pt>
                <c:pt idx="8">
                  <c:v>1604</c:v>
                </c:pt>
                <c:pt idx="9">
                  <c:v>1530</c:v>
                </c:pt>
                <c:pt idx="10">
                  <c:v>1602</c:v>
                </c:pt>
                <c:pt idx="11">
                  <c:v>1639</c:v>
                </c:pt>
                <c:pt idx="12">
                  <c:v>1777</c:v>
                </c:pt>
                <c:pt idx="13">
                  <c:v>1780</c:v>
                </c:pt>
              </c:numCache>
            </c:numRef>
          </c:val>
        </c:ser>
        <c:ser>
          <c:idx val="1"/>
          <c:order val="1"/>
          <c:tx>
            <c:strRef>
              <c:f>'Samlet pendling'!$G$17</c:f>
              <c:strCache>
                <c:ptCount val="1"/>
                <c:pt idx="0">
                  <c:v>Utpendling</c:v>
                </c:pt>
              </c:strCache>
            </c:strRef>
          </c:tx>
          <c:spPr>
            <a:ln w="28575" cap="rnd">
              <a:solidFill>
                <a:schemeClr val="accent2"/>
              </a:solidFill>
              <a:round/>
            </a:ln>
            <a:effectLst/>
          </c:spPr>
          <c:marker>
            <c:symbol val="none"/>
          </c:marker>
          <c:dLbls>
            <c:dLbl>
              <c:idx val="0"/>
              <c:layout>
                <c:manualLayout>
                  <c:x val="-4.7832578442760849E-2"/>
                  <c:y val="-4.7267348652213735E-2"/>
                </c:manualLayout>
              </c:layout>
              <c:showVal val="1"/>
              <c:extLst>
                <c:ext xmlns:c15="http://schemas.microsoft.com/office/drawing/2012/chart" uri="{CE6537A1-D6FC-4f65-9D91-7224C49458BB}">
                  <c15:layout/>
                </c:ext>
              </c:extLst>
            </c:dLbl>
            <c:dLbl>
              <c:idx val="13"/>
              <c:layout>
                <c:manualLayout>
                  <c:x val="0"/>
                  <c:y val="-3.545051148916032E-2"/>
                </c:manualLayout>
              </c:layout>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'Samlet pendling'!$E$18:$E$31</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'Samlet pendling'!$G$18:$G$31</c:f>
              <c:numCache>
                <c:formatCode>#,##0</c:formatCode>
                <c:ptCount val="14"/>
                <c:pt idx="0">
                  <c:v>5895</c:v>
                </c:pt>
                <c:pt idx="1">
                  <c:v>5799</c:v>
                </c:pt>
                <c:pt idx="2">
                  <c:v>5706</c:v>
                </c:pt>
                <c:pt idx="3">
                  <c:v>5535</c:v>
                </c:pt>
                <c:pt idx="4">
                  <c:v>5245</c:v>
                </c:pt>
                <c:pt idx="5">
                  <c:v>5293</c:v>
                </c:pt>
                <c:pt idx="6">
                  <c:v>5465</c:v>
                </c:pt>
                <c:pt idx="7">
                  <c:v>5608</c:v>
                </c:pt>
                <c:pt idx="8">
                  <c:v>5661</c:v>
                </c:pt>
                <c:pt idx="9">
                  <c:v>5459</c:v>
                </c:pt>
                <c:pt idx="10">
                  <c:v>5371</c:v>
                </c:pt>
                <c:pt idx="11">
                  <c:v>5445</c:v>
                </c:pt>
                <c:pt idx="12">
                  <c:v>5442</c:v>
                </c:pt>
                <c:pt idx="13">
                  <c:v>5493</c:v>
                </c:pt>
              </c:numCache>
            </c:numRef>
          </c:val>
        </c:ser>
        <c:marker val="1"/>
        <c:axId val="251156352"/>
        <c:axId val="251157888"/>
      </c:lineChart>
      <c:catAx>
        <c:axId val="2511563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1157888"/>
        <c:crosses val="autoZero"/>
        <c:auto val="1"/>
        <c:lblAlgn val="ctr"/>
        <c:lblOffset val="100"/>
      </c:catAx>
      <c:valAx>
        <c:axId val="2511578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115635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80178707169822"/>
          <c:y val="3.0823941272528837E-2"/>
          <c:w val="0.59732025300116176"/>
          <c:h val="0.92412132765268962"/>
        </c:manualLayout>
      </c:layout>
      <c:barChart>
        <c:barDir val="bar"/>
        <c:grouping val="stacked"/>
        <c:ser>
          <c:idx val="0"/>
          <c:order val="0"/>
          <c:tx>
            <c:strRef>
              <c:f>'Ark1'!$D$1</c:f>
              <c:strCache>
                <c:ptCount val="1"/>
                <c:pt idx="0">
                  <c:v>Ekstern</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'Ark1'!$B$2:$C$31</c:f>
              <c:multiLvlStrCache>
                <c:ptCount val="30"/>
                <c:lvl>
                  <c:pt idx="0">
                    <c:v>Halden</c:v>
                  </c:pt>
                  <c:pt idx="1">
                    <c:v>Hallingdal</c:v>
                  </c:pt>
                  <c:pt idx="2">
                    <c:v>Sør Østerdal</c:v>
                  </c:pt>
                  <c:pt idx="3">
                    <c:v>Fjellregionen</c:v>
                  </c:pt>
                  <c:pt idx="4">
                    <c:v>Valdres</c:v>
                  </c:pt>
                  <c:pt idx="5">
                    <c:v>Nord-Gudbrandsdal</c:v>
                  </c:pt>
                  <c:pt idx="6">
                    <c:v>Oslo</c:v>
                  </c:pt>
                  <c:pt idx="7">
                    <c:v>Øst-Telemark</c:v>
                  </c:pt>
                  <c:pt idx="8">
                    <c:v>Vest-Telemark</c:v>
                  </c:pt>
                  <c:pt idx="9">
                    <c:v>Sandefjord/Larvik</c:v>
                  </c:pt>
                  <c:pt idx="10">
                    <c:v>Midt-Gudbrandsdal</c:v>
                  </c:pt>
                  <c:pt idx="11">
                    <c:v>Glåmdal</c:v>
                  </c:pt>
                  <c:pt idx="12">
                    <c:v>Kongsberg/Numedal</c:v>
                  </c:pt>
                  <c:pt idx="13">
                    <c:v>Grenland</c:v>
                  </c:pt>
                  <c:pt idx="14">
                    <c:v>Gjøvikregionen</c:v>
                  </c:pt>
                  <c:pt idx="15">
                    <c:v>Midt-Buskerud</c:v>
                  </c:pt>
                  <c:pt idx="16">
                    <c:v>Nedre Glomma</c:v>
                  </c:pt>
                  <c:pt idx="17">
                    <c:v>Lillehammerreg.</c:v>
                  </c:pt>
                  <c:pt idx="18">
                    <c:v>Midt-Telemark</c:v>
                  </c:pt>
                  <c:pt idx="19">
                    <c:v>Hadeland</c:v>
                  </c:pt>
                  <c:pt idx="20">
                    <c:v>Ringerike/Hole</c:v>
                  </c:pt>
                  <c:pt idx="21">
                    <c:v>Indre Østfold</c:v>
                  </c:pt>
                  <c:pt idx="22">
                    <c:v>Hamarregionen</c:v>
                  </c:pt>
                  <c:pt idx="23">
                    <c:v>Tønsbergregionen</c:v>
                  </c:pt>
                  <c:pt idx="24">
                    <c:v>Drammensregionen</c:v>
                  </c:pt>
                  <c:pt idx="25">
                    <c:v>Øvre Romerike</c:v>
                  </c:pt>
                  <c:pt idx="26">
                    <c:v>Mosseregionen</c:v>
                  </c:pt>
                  <c:pt idx="27">
                    <c:v>Follo</c:v>
                  </c:pt>
                  <c:pt idx="28">
                    <c:v>Akershus Vest</c:v>
                  </c:pt>
                  <c:pt idx="29">
                    <c:v>Nedre Romerike</c:v>
                  </c:pt>
                </c:lvl>
                <c:lvl>
                  <c:pt idx="0">
                    <c:v>60</c:v>
                  </c:pt>
                  <c:pt idx="1">
                    <c:v>59</c:v>
                  </c:pt>
                  <c:pt idx="2">
                    <c:v>51</c:v>
                  </c:pt>
                  <c:pt idx="3">
                    <c:v>48</c:v>
                  </c:pt>
                  <c:pt idx="4">
                    <c:v>47</c:v>
                  </c:pt>
                  <c:pt idx="5">
                    <c:v>46</c:v>
                  </c:pt>
                  <c:pt idx="6">
                    <c:v>43</c:v>
                  </c:pt>
                  <c:pt idx="7">
                    <c:v>42</c:v>
                  </c:pt>
                  <c:pt idx="8">
                    <c:v>39</c:v>
                  </c:pt>
                  <c:pt idx="9">
                    <c:v>33</c:v>
                  </c:pt>
                  <c:pt idx="10">
                    <c:v>28</c:v>
                  </c:pt>
                  <c:pt idx="11">
                    <c:v>27</c:v>
                  </c:pt>
                  <c:pt idx="12">
                    <c:v>26</c:v>
                  </c:pt>
                  <c:pt idx="13">
                    <c:v>24</c:v>
                  </c:pt>
                  <c:pt idx="14">
                    <c:v>23</c:v>
                  </c:pt>
                  <c:pt idx="15">
                    <c:v>21</c:v>
                  </c:pt>
                  <c:pt idx="16">
                    <c:v>19</c:v>
                  </c:pt>
                  <c:pt idx="17">
                    <c:v>18</c:v>
                  </c:pt>
                  <c:pt idx="18">
                    <c:v>17</c:v>
                  </c:pt>
                  <c:pt idx="19">
                    <c:v>15</c:v>
                  </c:pt>
                  <c:pt idx="20">
                    <c:v>14</c:v>
                  </c:pt>
                  <c:pt idx="21">
                    <c:v>12</c:v>
                  </c:pt>
                  <c:pt idx="22">
                    <c:v>11</c:v>
                  </c:pt>
                  <c:pt idx="23">
                    <c:v>9</c:v>
                  </c:pt>
                  <c:pt idx="24">
                    <c:v>6</c:v>
                  </c:pt>
                  <c:pt idx="25">
                    <c:v>5</c:v>
                  </c:pt>
                  <c:pt idx="26">
                    <c:v>4</c:v>
                  </c:pt>
                  <c:pt idx="27">
                    <c:v>3</c:v>
                  </c:pt>
                  <c:pt idx="28">
                    <c:v>2</c:v>
                  </c:pt>
                  <c:pt idx="29">
                    <c:v>1</c:v>
                  </c:pt>
                </c:lvl>
              </c:multiLvlStrCache>
            </c:multiLvlStrRef>
          </c:cat>
          <c:val>
            <c:numRef>
              <c:f>'Ark1'!$D$2:$D$31</c:f>
              <c:numCache>
                <c:formatCode>0.0</c:formatCode>
                <c:ptCount val="30"/>
                <c:pt idx="0">
                  <c:v>45.406049886422394</c:v>
                </c:pt>
                <c:pt idx="1">
                  <c:v>18.142929905107373</c:v>
                </c:pt>
                <c:pt idx="2">
                  <c:v>35.692291676502741</c:v>
                </c:pt>
                <c:pt idx="3">
                  <c:v>23.309748763839707</c:v>
                </c:pt>
                <c:pt idx="4">
                  <c:v>17.471361460628966</c:v>
                </c:pt>
                <c:pt idx="5">
                  <c:v>19.848757111191389</c:v>
                </c:pt>
                <c:pt idx="6">
                  <c:v>55.249255137388289</c:v>
                </c:pt>
                <c:pt idx="7">
                  <c:v>37.605770595940086</c:v>
                </c:pt>
                <c:pt idx="8">
                  <c:v>34.508482169245397</c:v>
                </c:pt>
                <c:pt idx="9">
                  <c:v>41.28918081422627</c:v>
                </c:pt>
                <c:pt idx="10">
                  <c:v>32.853995766093533</c:v>
                </c:pt>
                <c:pt idx="11">
                  <c:v>31.41677743639147</c:v>
                </c:pt>
                <c:pt idx="12">
                  <c:v>41.623853640916103</c:v>
                </c:pt>
                <c:pt idx="13">
                  <c:v>21.539768051399626</c:v>
                </c:pt>
                <c:pt idx="14">
                  <c:v>26.622639158004809</c:v>
                </c:pt>
                <c:pt idx="15">
                  <c:v>56.954239909063268</c:v>
                </c:pt>
                <c:pt idx="16">
                  <c:v>34.249960822644546</c:v>
                </c:pt>
                <c:pt idx="17">
                  <c:v>37.507743007675757</c:v>
                </c:pt>
                <c:pt idx="18">
                  <c:v>46.171061467928588</c:v>
                </c:pt>
                <c:pt idx="19">
                  <c:v>57.153218310425537</c:v>
                </c:pt>
                <c:pt idx="20">
                  <c:v>49.896529081735622</c:v>
                </c:pt>
                <c:pt idx="21">
                  <c:v>50.783748988693205</c:v>
                </c:pt>
                <c:pt idx="22">
                  <c:v>32.091767241453695</c:v>
                </c:pt>
                <c:pt idx="23">
                  <c:v>34.640339494180587</c:v>
                </c:pt>
                <c:pt idx="24">
                  <c:v>51.145025694600982</c:v>
                </c:pt>
                <c:pt idx="25">
                  <c:v>71.638824121308872</c:v>
                </c:pt>
                <c:pt idx="26">
                  <c:v>63.965126525411037</c:v>
                </c:pt>
                <c:pt idx="27">
                  <c:v>84.350127066837061</c:v>
                </c:pt>
                <c:pt idx="28">
                  <c:v>96.350964449710204</c:v>
                </c:pt>
                <c:pt idx="29">
                  <c:v>87.561966826755807</c:v>
                </c:pt>
              </c:numCache>
            </c:numRef>
          </c:val>
        </c:ser>
        <c:ser>
          <c:idx val="1"/>
          <c:order val="1"/>
          <c:tx>
            <c:strRef>
              <c:f>'Ark1'!$E$1</c:f>
              <c:strCache>
                <c:ptCount val="1"/>
                <c:pt idx="0">
                  <c:v>Intern</c:v>
                </c:pt>
              </c:strCache>
            </c:strRef>
          </c:tx>
          <c:spPr>
            <a:solidFill>
              <a:schemeClr val="accent2"/>
            </a:solidFill>
            <a:ln>
              <a:noFill/>
            </a:ln>
            <a:effectLst/>
          </c:spP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'Ark1'!$B$2:$C$31</c:f>
              <c:multiLvlStrCache>
                <c:ptCount val="30"/>
                <c:lvl>
                  <c:pt idx="0">
                    <c:v>Halden</c:v>
                  </c:pt>
                  <c:pt idx="1">
                    <c:v>Hallingdal</c:v>
                  </c:pt>
                  <c:pt idx="2">
                    <c:v>Sør Østerdal</c:v>
                  </c:pt>
                  <c:pt idx="3">
                    <c:v>Fjellregionen</c:v>
                  </c:pt>
                  <c:pt idx="4">
                    <c:v>Valdres</c:v>
                  </c:pt>
                  <c:pt idx="5">
                    <c:v>Nord-Gudbrandsdal</c:v>
                  </c:pt>
                  <c:pt idx="6">
                    <c:v>Oslo</c:v>
                  </c:pt>
                  <c:pt idx="7">
                    <c:v>Øst-Telemark</c:v>
                  </c:pt>
                  <c:pt idx="8">
                    <c:v>Vest-Telemark</c:v>
                  </c:pt>
                  <c:pt idx="9">
                    <c:v>Sandefjord/Larvik</c:v>
                  </c:pt>
                  <c:pt idx="10">
                    <c:v>Midt-Gudbrandsdal</c:v>
                  </c:pt>
                  <c:pt idx="11">
                    <c:v>Glåmdal</c:v>
                  </c:pt>
                  <c:pt idx="12">
                    <c:v>Kongsberg/Numedal</c:v>
                  </c:pt>
                  <c:pt idx="13">
                    <c:v>Grenland</c:v>
                  </c:pt>
                  <c:pt idx="14">
                    <c:v>Gjøvikregionen</c:v>
                  </c:pt>
                  <c:pt idx="15">
                    <c:v>Midt-Buskerud</c:v>
                  </c:pt>
                  <c:pt idx="16">
                    <c:v>Nedre Glomma</c:v>
                  </c:pt>
                  <c:pt idx="17">
                    <c:v>Lillehammerreg.</c:v>
                  </c:pt>
                  <c:pt idx="18">
                    <c:v>Midt-Telemark</c:v>
                  </c:pt>
                  <c:pt idx="19">
                    <c:v>Hadeland</c:v>
                  </c:pt>
                  <c:pt idx="20">
                    <c:v>Ringerike/Hole</c:v>
                  </c:pt>
                  <c:pt idx="21">
                    <c:v>Indre Østfold</c:v>
                  </c:pt>
                  <c:pt idx="22">
                    <c:v>Hamarregionen</c:v>
                  </c:pt>
                  <c:pt idx="23">
                    <c:v>Tønsbergregionen</c:v>
                  </c:pt>
                  <c:pt idx="24">
                    <c:v>Drammensregionen</c:v>
                  </c:pt>
                  <c:pt idx="25">
                    <c:v>Øvre Romerike</c:v>
                  </c:pt>
                  <c:pt idx="26">
                    <c:v>Mosseregionen</c:v>
                  </c:pt>
                  <c:pt idx="27">
                    <c:v>Follo</c:v>
                  </c:pt>
                  <c:pt idx="28">
                    <c:v>Akershus Vest</c:v>
                  </c:pt>
                  <c:pt idx="29">
                    <c:v>Nedre Romerike</c:v>
                  </c:pt>
                </c:lvl>
                <c:lvl>
                  <c:pt idx="0">
                    <c:v>60</c:v>
                  </c:pt>
                  <c:pt idx="1">
                    <c:v>59</c:v>
                  </c:pt>
                  <c:pt idx="2">
                    <c:v>51</c:v>
                  </c:pt>
                  <c:pt idx="3">
                    <c:v>48</c:v>
                  </c:pt>
                  <c:pt idx="4">
                    <c:v>47</c:v>
                  </c:pt>
                  <c:pt idx="5">
                    <c:v>46</c:v>
                  </c:pt>
                  <c:pt idx="6">
                    <c:v>43</c:v>
                  </c:pt>
                  <c:pt idx="7">
                    <c:v>42</c:v>
                  </c:pt>
                  <c:pt idx="8">
                    <c:v>39</c:v>
                  </c:pt>
                  <c:pt idx="9">
                    <c:v>33</c:v>
                  </c:pt>
                  <c:pt idx="10">
                    <c:v>28</c:v>
                  </c:pt>
                  <c:pt idx="11">
                    <c:v>27</c:v>
                  </c:pt>
                  <c:pt idx="12">
                    <c:v>26</c:v>
                  </c:pt>
                  <c:pt idx="13">
                    <c:v>24</c:v>
                  </c:pt>
                  <c:pt idx="14">
                    <c:v>23</c:v>
                  </c:pt>
                  <c:pt idx="15">
                    <c:v>21</c:v>
                  </c:pt>
                  <c:pt idx="16">
                    <c:v>19</c:v>
                  </c:pt>
                  <c:pt idx="17">
                    <c:v>18</c:v>
                  </c:pt>
                  <c:pt idx="18">
                    <c:v>17</c:v>
                  </c:pt>
                  <c:pt idx="19">
                    <c:v>15</c:v>
                  </c:pt>
                  <c:pt idx="20">
                    <c:v>14</c:v>
                  </c:pt>
                  <c:pt idx="21">
                    <c:v>12</c:v>
                  </c:pt>
                  <c:pt idx="22">
                    <c:v>11</c:v>
                  </c:pt>
                  <c:pt idx="23">
                    <c:v>9</c:v>
                  </c:pt>
                  <c:pt idx="24">
                    <c:v>6</c:v>
                  </c:pt>
                  <c:pt idx="25">
                    <c:v>5</c:v>
                  </c:pt>
                  <c:pt idx="26">
                    <c:v>4</c:v>
                  </c:pt>
                  <c:pt idx="27">
                    <c:v>3</c:v>
                  </c:pt>
                  <c:pt idx="28">
                    <c:v>2</c:v>
                  </c:pt>
                  <c:pt idx="29">
                    <c:v>1</c:v>
                  </c:pt>
                </c:lvl>
              </c:multiLvlStrCache>
            </c:multiLvlStrRef>
          </c:cat>
          <c:val>
            <c:numRef>
              <c:f>'Ark1'!$E$2:$E$31</c:f>
              <c:numCache>
                <c:formatCode>0.0</c:formatCode>
                <c:ptCount val="30"/>
                <c:pt idx="1">
                  <c:v>27.613690365000007</c:v>
                </c:pt>
                <c:pt idx="2">
                  <c:v>14.034019486999998</c:v>
                </c:pt>
                <c:pt idx="3">
                  <c:v>28.248710352999989</c:v>
                </c:pt>
                <c:pt idx="4">
                  <c:v>34.960894644</c:v>
                </c:pt>
                <c:pt idx="5">
                  <c:v>32.590448909000003</c:v>
                </c:pt>
                <c:pt idx="7">
                  <c:v>17.863852602000001</c:v>
                </c:pt>
                <c:pt idx="8">
                  <c:v>25.446225386999984</c:v>
                </c:pt>
                <c:pt idx="9">
                  <c:v>25.178280796999999</c:v>
                </c:pt>
                <c:pt idx="10">
                  <c:v>37.589508343000013</c:v>
                </c:pt>
                <c:pt idx="11">
                  <c:v>39.480814635000002</c:v>
                </c:pt>
                <c:pt idx="12">
                  <c:v>31.105876771999991</c:v>
                </c:pt>
                <c:pt idx="13">
                  <c:v>53.383686666999985</c:v>
                </c:pt>
                <c:pt idx="14">
                  <c:v>48.646895261000004</c:v>
                </c:pt>
                <c:pt idx="15">
                  <c:v>18.586531957999984</c:v>
                </c:pt>
                <c:pt idx="16">
                  <c:v>43.069195584000013</c:v>
                </c:pt>
                <c:pt idx="17">
                  <c:v>41.457863873999983</c:v>
                </c:pt>
                <c:pt idx="18">
                  <c:v>36.050062773999997</c:v>
                </c:pt>
                <c:pt idx="19">
                  <c:v>26.373247732999992</c:v>
                </c:pt>
                <c:pt idx="20">
                  <c:v>36.021846505999996</c:v>
                </c:pt>
                <c:pt idx="21">
                  <c:v>38.681637556999981</c:v>
                </c:pt>
                <c:pt idx="22">
                  <c:v>59.104095464999993</c:v>
                </c:pt>
                <c:pt idx="23">
                  <c:v>64.482916858999971</c:v>
                </c:pt>
                <c:pt idx="24">
                  <c:v>56.254579115000006</c:v>
                </c:pt>
                <c:pt idx="25">
                  <c:v>38.807514423999997</c:v>
                </c:pt>
                <c:pt idx="26">
                  <c:v>49.623931079000002</c:v>
                </c:pt>
                <c:pt idx="27">
                  <c:v>32.334095253000001</c:v>
                </c:pt>
                <c:pt idx="28">
                  <c:v>21.905297395000002</c:v>
                </c:pt>
                <c:pt idx="29">
                  <c:v>42.667469400000002</c:v>
                </c:pt>
              </c:numCache>
            </c:numRef>
          </c:val>
        </c:ser>
        <c:gapWidth val="30"/>
        <c:overlap val="100"/>
        <c:axId val="250692352"/>
        <c:axId val="250693888"/>
      </c:barChart>
      <c:catAx>
        <c:axId val="2506923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693888"/>
        <c:crosses val="autoZero"/>
        <c:auto val="1"/>
        <c:lblAlgn val="ctr"/>
        <c:lblOffset val="100"/>
      </c:catAx>
      <c:valAx>
        <c:axId val="250693888"/>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0692352"/>
        <c:crosses val="autoZero"/>
        <c:crossBetween val="between"/>
      </c:valAx>
      <c:spPr>
        <a:noFill/>
        <a:ln>
          <a:noFill/>
        </a:ln>
        <a:effectLst/>
      </c:spPr>
    </c:plotArea>
    <c:legend>
      <c:legendPos val="b"/>
      <c:layout>
        <c:manualLayout>
          <c:xMode val="edge"/>
          <c:yMode val="edge"/>
          <c:x val="0.70644222356820785"/>
          <c:y val="0.78237568927737244"/>
          <c:w val="0.21903358234066894"/>
          <c:h val="6.3727274916323573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scatterChart>
        <c:scatterStyle val="lineMarker"/>
        <c:ser>
          <c:idx val="0"/>
          <c:order val="0"/>
          <c:tx>
            <c:v>Alle</c:v>
          </c:tx>
          <c:spPr>
            <a:ln w="25400" cap="rnd">
              <a:noFill/>
              <a:round/>
            </a:ln>
            <a:effectLst/>
          </c:spPr>
          <c:marker>
            <c:symbol val="circle"/>
            <c:size val="5"/>
            <c:spPr>
              <a:solidFill>
                <a:schemeClr val="bg1">
                  <a:lumMod val="65000"/>
                </a:schemeClr>
              </a:solidFill>
              <a:ln w="9525">
                <a:noFill/>
              </a:ln>
              <a:effectLst/>
            </c:spPr>
          </c:marker>
          <c:trendline>
            <c:spPr>
              <a:ln w="19050" cap="rnd">
                <a:solidFill>
                  <a:schemeClr val="tx1"/>
                </a:solidFill>
                <a:prstDash val="solid"/>
              </a:ln>
              <a:effectLst/>
            </c:spPr>
            <c:trendlineType val="linear"/>
          </c:trendline>
          <c:xVal>
            <c:numRef>
              <c:f>'Arbvekst og flytting'!$B$17:$B$444</c:f>
              <c:numCache>
                <c:formatCode>#,##0.0</c:formatCode>
                <c:ptCount val="428"/>
                <c:pt idx="0">
                  <c:v>6.1606992771894395</c:v>
                </c:pt>
                <c:pt idx="1">
                  <c:v>1.1359499016966434</c:v>
                </c:pt>
                <c:pt idx="2">
                  <c:v>9.571328179901613</c:v>
                </c:pt>
                <c:pt idx="3">
                  <c:v>8.5941563408291231</c:v>
                </c:pt>
                <c:pt idx="4">
                  <c:v>42.774566473988422</c:v>
                </c:pt>
                <c:pt idx="5">
                  <c:v>-6.1381074168797936</c:v>
                </c:pt>
                <c:pt idx="6">
                  <c:v>-2.3330651649235707</c:v>
                </c:pt>
                <c:pt idx="7">
                  <c:v>43.13725490196078</c:v>
                </c:pt>
                <c:pt idx="8">
                  <c:v>20.908379013312452</c:v>
                </c:pt>
                <c:pt idx="9">
                  <c:v>32.991014120667508</c:v>
                </c:pt>
                <c:pt idx="10">
                  <c:v>3.9808068242402692</c:v>
                </c:pt>
                <c:pt idx="11">
                  <c:v>8.5975882090218843</c:v>
                </c:pt>
                <c:pt idx="12">
                  <c:v>24.808184143222505</c:v>
                </c:pt>
                <c:pt idx="13">
                  <c:v>12.150466045272973</c:v>
                </c:pt>
                <c:pt idx="14">
                  <c:v>41.766233766233768</c:v>
                </c:pt>
                <c:pt idx="15">
                  <c:v>14.699118436182445</c:v>
                </c:pt>
                <c:pt idx="16">
                  <c:v>26.465028355387517</c:v>
                </c:pt>
                <c:pt idx="17">
                  <c:v>27.954545454545453</c:v>
                </c:pt>
                <c:pt idx="18">
                  <c:v>79.091869060190106</c:v>
                </c:pt>
                <c:pt idx="19">
                  <c:v>27.236254217197047</c:v>
                </c:pt>
                <c:pt idx="20">
                  <c:v>32.052058111380148</c:v>
                </c:pt>
                <c:pt idx="21">
                  <c:v>21.420704845814971</c:v>
                </c:pt>
                <c:pt idx="22">
                  <c:v>18.536071616640346</c:v>
                </c:pt>
                <c:pt idx="23">
                  <c:v>2.5432018258884912</c:v>
                </c:pt>
                <c:pt idx="24">
                  <c:v>31.000036997299187</c:v>
                </c:pt>
                <c:pt idx="25">
                  <c:v>16.868050083180101</c:v>
                </c:pt>
                <c:pt idx="26">
                  <c:v>19.520383693045563</c:v>
                </c:pt>
                <c:pt idx="27">
                  <c:v>35.247747747747745</c:v>
                </c:pt>
                <c:pt idx="28">
                  <c:v>19.408337068579101</c:v>
                </c:pt>
                <c:pt idx="29">
                  <c:v>29.800443458980038</c:v>
                </c:pt>
                <c:pt idx="30">
                  <c:v>33.871757219774842</c:v>
                </c:pt>
                <c:pt idx="31">
                  <c:v>27.693986265323144</c:v>
                </c:pt>
                <c:pt idx="32">
                  <c:v>29.555824564670825</c:v>
                </c:pt>
                <c:pt idx="33">
                  <c:v>19.897010441996855</c:v>
                </c:pt>
                <c:pt idx="34">
                  <c:v>41.862652869238005</c:v>
                </c:pt>
                <c:pt idx="35">
                  <c:v>33.046009179446983</c:v>
                </c:pt>
                <c:pt idx="36">
                  <c:v>16.570942352690917</c:v>
                </c:pt>
                <c:pt idx="37">
                  <c:v>6.129653401797178</c:v>
                </c:pt>
                <c:pt idx="38">
                  <c:v>40.962099125364425</c:v>
                </c:pt>
                <c:pt idx="39">
                  <c:v>-7.8021978021978011</c:v>
                </c:pt>
                <c:pt idx="40">
                  <c:v>9.2945663697403216</c:v>
                </c:pt>
                <c:pt idx="41">
                  <c:v>0</c:v>
                </c:pt>
                <c:pt idx="42">
                  <c:v>19.282593982649342</c:v>
                </c:pt>
                <c:pt idx="43">
                  <c:v>4.9376299376299384</c:v>
                </c:pt>
                <c:pt idx="44">
                  <c:v>5.9259259259259256</c:v>
                </c:pt>
                <c:pt idx="45">
                  <c:v>13.620604259534424</c:v>
                </c:pt>
                <c:pt idx="46">
                  <c:v>8.5535465924895746</c:v>
                </c:pt>
                <c:pt idx="47">
                  <c:v>-7.3264288454161868</c:v>
                </c:pt>
                <c:pt idx="48">
                  <c:v>5.3833605220228398</c:v>
                </c:pt>
                <c:pt idx="49">
                  <c:v>-5.2421367948077879</c:v>
                </c:pt>
                <c:pt idx="50">
                  <c:v>-4.3576500968366689</c:v>
                </c:pt>
                <c:pt idx="51">
                  <c:v>-11.782296650717704</c:v>
                </c:pt>
                <c:pt idx="52">
                  <c:v>17.145826117076556</c:v>
                </c:pt>
                <c:pt idx="53">
                  <c:v>-4.0407589599437808</c:v>
                </c:pt>
                <c:pt idx="54">
                  <c:v>14.117647058823529</c:v>
                </c:pt>
                <c:pt idx="55">
                  <c:v>-10.5982905982906</c:v>
                </c:pt>
                <c:pt idx="56">
                  <c:v>-4.0522875816993462</c:v>
                </c:pt>
                <c:pt idx="57">
                  <c:v>-16.875</c:v>
                </c:pt>
                <c:pt idx="58">
                  <c:v>-15.205479452054794</c:v>
                </c:pt>
                <c:pt idx="59">
                  <c:v>7.9816813869807017</c:v>
                </c:pt>
                <c:pt idx="60">
                  <c:v>19.883040935672508</c:v>
                </c:pt>
                <c:pt idx="61">
                  <c:v>-7.4074074074074066</c:v>
                </c:pt>
                <c:pt idx="62">
                  <c:v>-6.4596273291925481</c:v>
                </c:pt>
                <c:pt idx="63">
                  <c:v>13.185433235663462</c:v>
                </c:pt>
                <c:pt idx="64">
                  <c:v>12.08094848732625</c:v>
                </c:pt>
                <c:pt idx="65">
                  <c:v>2.0547945205479459</c:v>
                </c:pt>
                <c:pt idx="66">
                  <c:v>-2.2172949002217295</c:v>
                </c:pt>
                <c:pt idx="67">
                  <c:v>-4.9594229035166837</c:v>
                </c:pt>
                <c:pt idx="68">
                  <c:v>-10.387596899224812</c:v>
                </c:pt>
                <c:pt idx="69">
                  <c:v>4.0909090909090908</c:v>
                </c:pt>
                <c:pt idx="70">
                  <c:v>6.1400078216660132</c:v>
                </c:pt>
                <c:pt idx="71">
                  <c:v>-0.88437602358336054</c:v>
                </c:pt>
                <c:pt idx="72">
                  <c:v>-10.526315789473681</c:v>
                </c:pt>
                <c:pt idx="73">
                  <c:v>-2.138084632516704</c:v>
                </c:pt>
                <c:pt idx="74">
                  <c:v>1.7094017094017093</c:v>
                </c:pt>
                <c:pt idx="75">
                  <c:v>7.9394217530977524</c:v>
                </c:pt>
                <c:pt idx="76">
                  <c:v>13.228511530398318</c:v>
                </c:pt>
                <c:pt idx="77">
                  <c:v>-7.9911373707533233</c:v>
                </c:pt>
                <c:pt idx="78">
                  <c:v>-7.2315882874889086</c:v>
                </c:pt>
                <c:pt idx="79">
                  <c:v>6.8807339449541312</c:v>
                </c:pt>
                <c:pt idx="80">
                  <c:v>15.740231150247661</c:v>
                </c:pt>
                <c:pt idx="81">
                  <c:v>-13.216080402010048</c:v>
                </c:pt>
                <c:pt idx="82">
                  <c:v>11.272863008585297</c:v>
                </c:pt>
                <c:pt idx="83">
                  <c:v>7.615894039735096</c:v>
                </c:pt>
                <c:pt idx="84">
                  <c:v>-11.188811188811183</c:v>
                </c:pt>
                <c:pt idx="85">
                  <c:v>5.2236806857755163</c:v>
                </c:pt>
                <c:pt idx="86">
                  <c:v>-4.0120361083249749</c:v>
                </c:pt>
                <c:pt idx="87">
                  <c:v>-3.0217849613492622</c:v>
                </c:pt>
                <c:pt idx="88">
                  <c:v>13.909224011713032</c:v>
                </c:pt>
                <c:pt idx="89">
                  <c:v>15.707715562988453</c:v>
                </c:pt>
                <c:pt idx="90">
                  <c:v>30.211480362537763</c:v>
                </c:pt>
                <c:pt idx="91">
                  <c:v>4.1350274415457475</c:v>
                </c:pt>
                <c:pt idx="92">
                  <c:v>25.36613942589338</c:v>
                </c:pt>
                <c:pt idx="93">
                  <c:v>18.97018970189702</c:v>
                </c:pt>
                <c:pt idx="94">
                  <c:v>-3.6764705882352939</c:v>
                </c:pt>
                <c:pt idx="95">
                  <c:v>6.6914498141263943</c:v>
                </c:pt>
                <c:pt idx="96">
                  <c:v>13.711340206185568</c:v>
                </c:pt>
                <c:pt idx="97">
                  <c:v>6.6295979469632149</c:v>
                </c:pt>
                <c:pt idx="98">
                  <c:v>-3.2133676092544992</c:v>
                </c:pt>
                <c:pt idx="99">
                  <c:v>19.797349961028832</c:v>
                </c:pt>
                <c:pt idx="100">
                  <c:v>13.524590163934423</c:v>
                </c:pt>
                <c:pt idx="101">
                  <c:v>9.0781281381803538</c:v>
                </c:pt>
                <c:pt idx="102">
                  <c:v>25.158076259819893</c:v>
                </c:pt>
                <c:pt idx="103">
                  <c:v>28.544807724885658</c:v>
                </c:pt>
                <c:pt idx="104">
                  <c:v>29.755142017629769</c:v>
                </c:pt>
                <c:pt idx="105">
                  <c:v>33.640209007215724</c:v>
                </c:pt>
                <c:pt idx="106">
                  <c:v>11.244019138755981</c:v>
                </c:pt>
                <c:pt idx="107">
                  <c:v>5.8900523560209397</c:v>
                </c:pt>
                <c:pt idx="108">
                  <c:v>-12.90760869565217</c:v>
                </c:pt>
                <c:pt idx="109">
                  <c:v>16.048317515099217</c:v>
                </c:pt>
                <c:pt idx="110">
                  <c:v>13.771647827439592</c:v>
                </c:pt>
                <c:pt idx="111">
                  <c:v>-6.5479177119919703</c:v>
                </c:pt>
                <c:pt idx="112">
                  <c:v>8.2137440205343601</c:v>
                </c:pt>
                <c:pt idx="113">
                  <c:v>17.492138364779866</c:v>
                </c:pt>
                <c:pt idx="114">
                  <c:v>4.7294518535926224</c:v>
                </c:pt>
                <c:pt idx="115">
                  <c:v>-4.7534165181223988</c:v>
                </c:pt>
                <c:pt idx="116">
                  <c:v>14.341085271317828</c:v>
                </c:pt>
                <c:pt idx="117">
                  <c:v>6.4876957494407161</c:v>
                </c:pt>
                <c:pt idx="118">
                  <c:v>24.678362573099417</c:v>
                </c:pt>
                <c:pt idx="119">
                  <c:v>25.045592705167159</c:v>
                </c:pt>
                <c:pt idx="120">
                  <c:v>55.704882062534274</c:v>
                </c:pt>
                <c:pt idx="121">
                  <c:v>25.977710233029367</c:v>
                </c:pt>
                <c:pt idx="122">
                  <c:v>8.9075630252100808</c:v>
                </c:pt>
                <c:pt idx="123">
                  <c:v>19.631901840490805</c:v>
                </c:pt>
                <c:pt idx="124">
                  <c:v>2.3319303833466036</c:v>
                </c:pt>
                <c:pt idx="125">
                  <c:v>8.5034602076124575</c:v>
                </c:pt>
                <c:pt idx="126">
                  <c:v>-3.5496593761204731</c:v>
                </c:pt>
                <c:pt idx="127">
                  <c:v>1.8947368421052631</c:v>
                </c:pt>
                <c:pt idx="128">
                  <c:v>-8.0621572212065828</c:v>
                </c:pt>
                <c:pt idx="129">
                  <c:v>3.1496062992125986</c:v>
                </c:pt>
                <c:pt idx="130">
                  <c:v>6.5687121866897149</c:v>
                </c:pt>
                <c:pt idx="131">
                  <c:v>-3.0142566191446019</c:v>
                </c:pt>
                <c:pt idx="132">
                  <c:v>17.724196277495761</c:v>
                </c:pt>
                <c:pt idx="133">
                  <c:v>0.79710144927536231</c:v>
                </c:pt>
                <c:pt idx="134">
                  <c:v>-7.2482781239750764</c:v>
                </c:pt>
                <c:pt idx="135">
                  <c:v>-4.7385620915032716</c:v>
                </c:pt>
                <c:pt idx="136">
                  <c:v>14.77031802120141</c:v>
                </c:pt>
                <c:pt idx="137">
                  <c:v>8.5508550855085517</c:v>
                </c:pt>
                <c:pt idx="138">
                  <c:v>20.810313075506446</c:v>
                </c:pt>
                <c:pt idx="139">
                  <c:v>-3.8112522686025407</c:v>
                </c:pt>
                <c:pt idx="140">
                  <c:v>0.55865921787709516</c:v>
                </c:pt>
                <c:pt idx="141">
                  <c:v>3.4544371649791543</c:v>
                </c:pt>
                <c:pt idx="142">
                  <c:v>-2.2492625368731565</c:v>
                </c:pt>
                <c:pt idx="143">
                  <c:v>6.7633470225872694</c:v>
                </c:pt>
                <c:pt idx="144">
                  <c:v>14.570014435966177</c:v>
                </c:pt>
                <c:pt idx="145">
                  <c:v>2.9342723004694826</c:v>
                </c:pt>
                <c:pt idx="146">
                  <c:v>9.773123909249561</c:v>
                </c:pt>
                <c:pt idx="147">
                  <c:v>13.430656934306572</c:v>
                </c:pt>
                <c:pt idx="148">
                  <c:v>12.855910267471964</c:v>
                </c:pt>
                <c:pt idx="149">
                  <c:v>27.039007092198585</c:v>
                </c:pt>
                <c:pt idx="150">
                  <c:v>10.459693537641575</c:v>
                </c:pt>
                <c:pt idx="151">
                  <c:v>1.6506189821182948</c:v>
                </c:pt>
                <c:pt idx="152">
                  <c:v>44.625407166123793</c:v>
                </c:pt>
                <c:pt idx="153">
                  <c:v>21.568627450980383</c:v>
                </c:pt>
                <c:pt idx="154">
                  <c:v>-24.590163934426229</c:v>
                </c:pt>
                <c:pt idx="155">
                  <c:v>-4.2488619119878619</c:v>
                </c:pt>
                <c:pt idx="156">
                  <c:v>24.57264957264956</c:v>
                </c:pt>
                <c:pt idx="157">
                  <c:v>27.167386233933787</c:v>
                </c:pt>
                <c:pt idx="158">
                  <c:v>23.284457478005866</c:v>
                </c:pt>
                <c:pt idx="159">
                  <c:v>-1.5236160487557135</c:v>
                </c:pt>
                <c:pt idx="160">
                  <c:v>11.037934668071655</c:v>
                </c:pt>
                <c:pt idx="161">
                  <c:v>9.6782496782496796</c:v>
                </c:pt>
                <c:pt idx="162">
                  <c:v>63.774834437086078</c:v>
                </c:pt>
                <c:pt idx="163">
                  <c:v>30.718475073313783</c:v>
                </c:pt>
                <c:pt idx="164">
                  <c:v>-8.266666666666671</c:v>
                </c:pt>
                <c:pt idx="165">
                  <c:v>37.061403508771932</c:v>
                </c:pt>
                <c:pt idx="166">
                  <c:v>20.618556701030933</c:v>
                </c:pt>
                <c:pt idx="167">
                  <c:v>17.790622992935113</c:v>
                </c:pt>
                <c:pt idx="168">
                  <c:v>33.763586956521763</c:v>
                </c:pt>
                <c:pt idx="169">
                  <c:v>17.833333333333318</c:v>
                </c:pt>
                <c:pt idx="170">
                  <c:v>0.8795074758135446</c:v>
                </c:pt>
                <c:pt idx="171">
                  <c:v>17.48878923766814</c:v>
                </c:pt>
                <c:pt idx="172">
                  <c:v>12.182150573375436</c:v>
                </c:pt>
                <c:pt idx="173">
                  <c:v>39.212342042018776</c:v>
                </c:pt>
                <c:pt idx="174">
                  <c:v>32.220150130855217</c:v>
                </c:pt>
                <c:pt idx="175">
                  <c:v>26.332306287800982</c:v>
                </c:pt>
                <c:pt idx="176">
                  <c:v>5.3003533568904571</c:v>
                </c:pt>
                <c:pt idx="177">
                  <c:v>0.62413314840499312</c:v>
                </c:pt>
                <c:pt idx="178">
                  <c:v>13.492063492063492</c:v>
                </c:pt>
                <c:pt idx="179">
                  <c:v>35.302366345311135</c:v>
                </c:pt>
                <c:pt idx="180">
                  <c:v>49.256229081442889</c:v>
                </c:pt>
                <c:pt idx="181">
                  <c:v>33.708838821490467</c:v>
                </c:pt>
                <c:pt idx="182">
                  <c:v>43.108056510118367</c:v>
                </c:pt>
                <c:pt idx="183">
                  <c:v>93.175853018372678</c:v>
                </c:pt>
                <c:pt idx="184">
                  <c:v>21.757877280265333</c:v>
                </c:pt>
                <c:pt idx="185">
                  <c:v>18.162393162393162</c:v>
                </c:pt>
                <c:pt idx="186">
                  <c:v>31.470678538532379</c:v>
                </c:pt>
                <c:pt idx="187">
                  <c:v>-0.14847809948032675</c:v>
                </c:pt>
                <c:pt idx="188">
                  <c:v>10.952623535404999</c:v>
                </c:pt>
                <c:pt idx="189">
                  <c:v>-2.0564323290291719</c:v>
                </c:pt>
                <c:pt idx="190">
                  <c:v>18.614020950846097</c:v>
                </c:pt>
                <c:pt idx="191">
                  <c:v>8.9468779123951503</c:v>
                </c:pt>
                <c:pt idx="192">
                  <c:v>20.325203252032519</c:v>
                </c:pt>
                <c:pt idx="193">
                  <c:v>0.30864197530864218</c:v>
                </c:pt>
                <c:pt idx="194">
                  <c:v>22.946582423894313</c:v>
                </c:pt>
                <c:pt idx="195">
                  <c:v>15.498294808639642</c:v>
                </c:pt>
                <c:pt idx="196">
                  <c:v>-11.206896551724144</c:v>
                </c:pt>
                <c:pt idx="197">
                  <c:v>29.410201912858668</c:v>
                </c:pt>
                <c:pt idx="198">
                  <c:v>25.027329041661599</c:v>
                </c:pt>
                <c:pt idx="199">
                  <c:v>9.1269841269841283</c:v>
                </c:pt>
                <c:pt idx="200">
                  <c:v>28.8</c:v>
                </c:pt>
                <c:pt idx="201">
                  <c:v>13.968179691155822</c:v>
                </c:pt>
                <c:pt idx="202">
                  <c:v>13.660368501349607</c:v>
                </c:pt>
                <c:pt idx="203">
                  <c:v>20.689655172413794</c:v>
                </c:pt>
                <c:pt idx="204">
                  <c:v>9.2000000000000011</c:v>
                </c:pt>
                <c:pt idx="205">
                  <c:v>3.3501440922190198</c:v>
                </c:pt>
                <c:pt idx="206">
                  <c:v>-9.868421052631577</c:v>
                </c:pt>
                <c:pt idx="207">
                  <c:v>-10.938271604938267</c:v>
                </c:pt>
                <c:pt idx="208">
                  <c:v>-12.240663900414933</c:v>
                </c:pt>
                <c:pt idx="209">
                  <c:v>3.8647342995169094</c:v>
                </c:pt>
                <c:pt idx="210">
                  <c:v>-20.998278829604132</c:v>
                </c:pt>
                <c:pt idx="211">
                  <c:v>-29.464285714285715</c:v>
                </c:pt>
                <c:pt idx="212">
                  <c:v>12.155048652097626</c:v>
                </c:pt>
                <c:pt idx="213">
                  <c:v>-2.9678068410462788</c:v>
                </c:pt>
                <c:pt idx="214">
                  <c:v>8.100059559261469</c:v>
                </c:pt>
                <c:pt idx="215">
                  <c:v>1.0309278350515463</c:v>
                </c:pt>
                <c:pt idx="216">
                  <c:v>25.211359202254503</c:v>
                </c:pt>
                <c:pt idx="217">
                  <c:v>36.490900606626226</c:v>
                </c:pt>
                <c:pt idx="218">
                  <c:v>11.404639175257735</c:v>
                </c:pt>
                <c:pt idx="219">
                  <c:v>79.286483161617724</c:v>
                </c:pt>
                <c:pt idx="220">
                  <c:v>43.223300970873815</c:v>
                </c:pt>
                <c:pt idx="221">
                  <c:v>-21.731748726655347</c:v>
                </c:pt>
                <c:pt idx="222">
                  <c:v>16.923076923076923</c:v>
                </c:pt>
                <c:pt idx="223">
                  <c:v>11.457036114570366</c:v>
                </c:pt>
                <c:pt idx="224">
                  <c:v>44.310575635876852</c:v>
                </c:pt>
                <c:pt idx="225">
                  <c:v>34.663120567375906</c:v>
                </c:pt>
                <c:pt idx="226">
                  <c:v>6.2541583499667306</c:v>
                </c:pt>
                <c:pt idx="227">
                  <c:v>22.85765830777558</c:v>
                </c:pt>
                <c:pt idx="228">
                  <c:v>23.08478038815117</c:v>
                </c:pt>
                <c:pt idx="229">
                  <c:v>-13.592233009708744</c:v>
                </c:pt>
                <c:pt idx="230">
                  <c:v>-1.9261637239165337</c:v>
                </c:pt>
                <c:pt idx="231">
                  <c:v>8.1560939522840776</c:v>
                </c:pt>
                <c:pt idx="232">
                  <c:v>26.14259597806215</c:v>
                </c:pt>
                <c:pt idx="233">
                  <c:v>-12.705882352941176</c:v>
                </c:pt>
                <c:pt idx="234">
                  <c:v>-10.872313527180784</c:v>
                </c:pt>
                <c:pt idx="235">
                  <c:v>-23.860705073086837</c:v>
                </c:pt>
                <c:pt idx="236">
                  <c:v>-1.3646702047005312</c:v>
                </c:pt>
                <c:pt idx="237">
                  <c:v>-16.44832605531294</c:v>
                </c:pt>
                <c:pt idx="238">
                  <c:v>4.1614123581336697</c:v>
                </c:pt>
                <c:pt idx="239">
                  <c:v>17.89956803455723</c:v>
                </c:pt>
                <c:pt idx="240">
                  <c:v>-9.4080338266384729</c:v>
                </c:pt>
                <c:pt idx="241">
                  <c:v>-4.6270066100094391</c:v>
                </c:pt>
                <c:pt idx="242">
                  <c:v>-15.029277813923231</c:v>
                </c:pt>
                <c:pt idx="243">
                  <c:v>10.313662945241894</c:v>
                </c:pt>
                <c:pt idx="244">
                  <c:v>-10.200803212851405</c:v>
                </c:pt>
                <c:pt idx="245">
                  <c:v>10.539845758354755</c:v>
                </c:pt>
                <c:pt idx="246">
                  <c:v>-6.7415730337078683</c:v>
                </c:pt>
                <c:pt idx="247">
                  <c:v>3.0632411067193681</c:v>
                </c:pt>
                <c:pt idx="248">
                  <c:v>23.492612804472227</c:v>
                </c:pt>
                <c:pt idx="249">
                  <c:v>-10.16713091922006</c:v>
                </c:pt>
                <c:pt idx="250">
                  <c:v>-11.646803900325024</c:v>
                </c:pt>
                <c:pt idx="251">
                  <c:v>-10.384498940357252</c:v>
                </c:pt>
                <c:pt idx="252">
                  <c:v>-10.441176470588236</c:v>
                </c:pt>
                <c:pt idx="253">
                  <c:v>7.0631970260223049</c:v>
                </c:pt>
                <c:pt idx="254">
                  <c:v>-5.8380414312617726</c:v>
                </c:pt>
                <c:pt idx="255">
                  <c:v>8.4430673896204489</c:v>
                </c:pt>
                <c:pt idx="256">
                  <c:v>2.0950846091861397</c:v>
                </c:pt>
                <c:pt idx="257">
                  <c:v>19.46215691710562</c:v>
                </c:pt>
                <c:pt idx="258">
                  <c:v>23.850168052361578</c:v>
                </c:pt>
                <c:pt idx="259">
                  <c:v>21.522257551669309</c:v>
                </c:pt>
                <c:pt idx="260">
                  <c:v>-9.601081812035158</c:v>
                </c:pt>
                <c:pt idx="261">
                  <c:v>3.7354085603112837</c:v>
                </c:pt>
                <c:pt idx="262">
                  <c:v>10.965630114566295</c:v>
                </c:pt>
                <c:pt idx="263">
                  <c:v>55.297157622739036</c:v>
                </c:pt>
                <c:pt idx="264">
                  <c:v>0.86746987951807275</c:v>
                </c:pt>
                <c:pt idx="265">
                  <c:v>15.662016320084236</c:v>
                </c:pt>
                <c:pt idx="266">
                  <c:v>6.6590909090909074</c:v>
                </c:pt>
                <c:pt idx="267">
                  <c:v>33.110814419225605</c:v>
                </c:pt>
                <c:pt idx="268">
                  <c:v>-2.8735632183908049</c:v>
                </c:pt>
                <c:pt idx="269">
                  <c:v>-3.7920250195465202</c:v>
                </c:pt>
                <c:pt idx="270">
                  <c:v>-28.449502133712652</c:v>
                </c:pt>
                <c:pt idx="271">
                  <c:v>1.070216653615244</c:v>
                </c:pt>
                <c:pt idx="272">
                  <c:v>20.84388185654009</c:v>
                </c:pt>
                <c:pt idx="273">
                  <c:v>-3.0398322851153039</c:v>
                </c:pt>
                <c:pt idx="274">
                  <c:v>2.6000825423029319</c:v>
                </c:pt>
                <c:pt idx="275">
                  <c:v>7.0004861448711724</c:v>
                </c:pt>
                <c:pt idx="276">
                  <c:v>1.3917884481558804</c:v>
                </c:pt>
                <c:pt idx="277">
                  <c:v>5.5078472016582758</c:v>
                </c:pt>
                <c:pt idx="278">
                  <c:v>-19.578577699736609</c:v>
                </c:pt>
                <c:pt idx="279">
                  <c:v>0.47337278106508907</c:v>
                </c:pt>
                <c:pt idx="280">
                  <c:v>10.947712418300654</c:v>
                </c:pt>
                <c:pt idx="281">
                  <c:v>20.052770448548813</c:v>
                </c:pt>
                <c:pt idx="282">
                  <c:v>6.2838244137101658</c:v>
                </c:pt>
                <c:pt idx="283">
                  <c:v>-7.8326996197718648</c:v>
                </c:pt>
                <c:pt idx="284">
                  <c:v>3.7340619307832412</c:v>
                </c:pt>
                <c:pt idx="285">
                  <c:v>-1.7985611510791362</c:v>
                </c:pt>
                <c:pt idx="286">
                  <c:v>-7.4208144796380058</c:v>
                </c:pt>
                <c:pt idx="287">
                  <c:v>1.8744906275468622</c:v>
                </c:pt>
                <c:pt idx="288">
                  <c:v>1.497860199714693</c:v>
                </c:pt>
                <c:pt idx="289">
                  <c:v>-3.3755274261603372</c:v>
                </c:pt>
                <c:pt idx="290">
                  <c:v>-14.564369310793237</c:v>
                </c:pt>
                <c:pt idx="291">
                  <c:v>11.617806731813246</c:v>
                </c:pt>
                <c:pt idx="292">
                  <c:v>1.5831134564643798</c:v>
                </c:pt>
                <c:pt idx="293">
                  <c:v>28.282541234242309</c:v>
                </c:pt>
                <c:pt idx="294">
                  <c:v>4.8793284365162668</c:v>
                </c:pt>
                <c:pt idx="295">
                  <c:v>-5.9113300492610854</c:v>
                </c:pt>
                <c:pt idx="296">
                  <c:v>24.404761904761891</c:v>
                </c:pt>
                <c:pt idx="297">
                  <c:v>22.759674134419551</c:v>
                </c:pt>
                <c:pt idx="298">
                  <c:v>7.7191452245965975</c:v>
                </c:pt>
                <c:pt idx="299">
                  <c:v>-4.7353760445682473</c:v>
                </c:pt>
                <c:pt idx="300">
                  <c:v>3.75</c:v>
                </c:pt>
                <c:pt idx="301">
                  <c:v>7.678355501813785</c:v>
                </c:pt>
                <c:pt idx="302">
                  <c:v>2.1921341070277252</c:v>
                </c:pt>
                <c:pt idx="303">
                  <c:v>14.888888888888889</c:v>
                </c:pt>
                <c:pt idx="304">
                  <c:v>-12.975391498881432</c:v>
                </c:pt>
                <c:pt idx="305">
                  <c:v>9.1774303195105364</c:v>
                </c:pt>
                <c:pt idx="306">
                  <c:v>-5.3781512605041994</c:v>
                </c:pt>
                <c:pt idx="307">
                  <c:v>-10.919540229885065</c:v>
                </c:pt>
                <c:pt idx="308">
                  <c:v>20.787104877538187</c:v>
                </c:pt>
                <c:pt idx="309">
                  <c:v>8.7605451005840358</c:v>
                </c:pt>
                <c:pt idx="310">
                  <c:v>-21.978021978021964</c:v>
                </c:pt>
                <c:pt idx="311">
                  <c:v>20.030757400999615</c:v>
                </c:pt>
                <c:pt idx="312">
                  <c:v>14.475271411338962</c:v>
                </c:pt>
                <c:pt idx="313">
                  <c:v>13.333333333333334</c:v>
                </c:pt>
                <c:pt idx="314">
                  <c:v>11.030741410488249</c:v>
                </c:pt>
                <c:pt idx="315">
                  <c:v>44.728979940247562</c:v>
                </c:pt>
                <c:pt idx="316">
                  <c:v>7.3371283997469945</c:v>
                </c:pt>
                <c:pt idx="317">
                  <c:v>-5.3012048192771077</c:v>
                </c:pt>
                <c:pt idx="318">
                  <c:v>8.2239540607054931</c:v>
                </c:pt>
                <c:pt idx="319">
                  <c:v>15.467449828683316</c:v>
                </c:pt>
                <c:pt idx="320">
                  <c:v>-18.942731277533017</c:v>
                </c:pt>
                <c:pt idx="321">
                  <c:v>35.203142260954976</c:v>
                </c:pt>
                <c:pt idx="322">
                  <c:v>4.5104510451045101</c:v>
                </c:pt>
                <c:pt idx="323">
                  <c:v>-11.306532663316586</c:v>
                </c:pt>
                <c:pt idx="324">
                  <c:v>14.062877871825876</c:v>
                </c:pt>
                <c:pt idx="325">
                  <c:v>28.528130327713583</c:v>
                </c:pt>
                <c:pt idx="326">
                  <c:v>21.700223713646533</c:v>
                </c:pt>
                <c:pt idx="327">
                  <c:v>-11.756569847856154</c:v>
                </c:pt>
                <c:pt idx="328">
                  <c:v>-4.5891141942369273</c:v>
                </c:pt>
                <c:pt idx="329">
                  <c:v>1.0989010989010988</c:v>
                </c:pt>
                <c:pt idx="330">
                  <c:v>-9.4420600858369088</c:v>
                </c:pt>
                <c:pt idx="331">
                  <c:v>-10.49107142857142</c:v>
                </c:pt>
                <c:pt idx="332">
                  <c:v>3.4572169403630078</c:v>
                </c:pt>
                <c:pt idx="333">
                  <c:v>0.55452865064695012</c:v>
                </c:pt>
                <c:pt idx="334">
                  <c:v>10.538461538461538</c:v>
                </c:pt>
                <c:pt idx="335">
                  <c:v>-5.3846153846153841</c:v>
                </c:pt>
                <c:pt idx="336">
                  <c:v>6.3559322033898296</c:v>
                </c:pt>
                <c:pt idx="337">
                  <c:v>25.7</c:v>
                </c:pt>
                <c:pt idx="338">
                  <c:v>-6.0987415295256513</c:v>
                </c:pt>
                <c:pt idx="339">
                  <c:v>-6.7857142857142874</c:v>
                </c:pt>
                <c:pt idx="340">
                  <c:v>6.25</c:v>
                </c:pt>
                <c:pt idx="341">
                  <c:v>17.503927979956693</c:v>
                </c:pt>
                <c:pt idx="342">
                  <c:v>6.7693368578324309</c:v>
                </c:pt>
                <c:pt idx="343">
                  <c:v>-28.349788434414677</c:v>
                </c:pt>
                <c:pt idx="344">
                  <c:v>2.1505376344086025</c:v>
                </c:pt>
                <c:pt idx="345">
                  <c:v>13.329401356532003</c:v>
                </c:pt>
                <c:pt idx="346">
                  <c:v>-2.4144869215291744</c:v>
                </c:pt>
                <c:pt idx="347">
                  <c:v>-15.126050420168069</c:v>
                </c:pt>
                <c:pt idx="348">
                  <c:v>-2.9002320185614852</c:v>
                </c:pt>
                <c:pt idx="349">
                  <c:v>18.799183911396092</c:v>
                </c:pt>
                <c:pt idx="350">
                  <c:v>-8.3443708609271496</c:v>
                </c:pt>
                <c:pt idx="351">
                  <c:v>4.4383226201408039</c:v>
                </c:pt>
                <c:pt idx="352">
                  <c:v>-8.4990958408679962</c:v>
                </c:pt>
                <c:pt idx="353">
                  <c:v>-4.7473200612557411</c:v>
                </c:pt>
                <c:pt idx="354">
                  <c:v>-14.020270270270268</c:v>
                </c:pt>
                <c:pt idx="355">
                  <c:v>-3.2258064516129039</c:v>
                </c:pt>
                <c:pt idx="356">
                  <c:v>2.0075282308657472</c:v>
                </c:pt>
                <c:pt idx="357">
                  <c:v>9.5011876484560549</c:v>
                </c:pt>
                <c:pt idx="358">
                  <c:v>5.6354916067146306</c:v>
                </c:pt>
                <c:pt idx="359">
                  <c:v>3.4632034632034627</c:v>
                </c:pt>
                <c:pt idx="360">
                  <c:v>-4.9235993208828521</c:v>
                </c:pt>
                <c:pt idx="361">
                  <c:v>1.974612129760227</c:v>
                </c:pt>
                <c:pt idx="362">
                  <c:v>0.77519379844961256</c:v>
                </c:pt>
                <c:pt idx="363">
                  <c:v>2.5056947608200466</c:v>
                </c:pt>
                <c:pt idx="364">
                  <c:v>-1.7118402282453633</c:v>
                </c:pt>
                <c:pt idx="365">
                  <c:v>4.1847826086956497</c:v>
                </c:pt>
                <c:pt idx="366">
                  <c:v>-13.569321533923304</c:v>
                </c:pt>
                <c:pt idx="367">
                  <c:v>3.768382352941178</c:v>
                </c:pt>
                <c:pt idx="368">
                  <c:v>6.1068702290076313</c:v>
                </c:pt>
                <c:pt idx="369">
                  <c:v>-1.5312131919905771</c:v>
                </c:pt>
                <c:pt idx="370">
                  <c:v>-5.1948051948051948</c:v>
                </c:pt>
                <c:pt idx="371">
                  <c:v>-7.2356215213358084</c:v>
                </c:pt>
                <c:pt idx="372">
                  <c:v>-11.337209302325581</c:v>
                </c:pt>
                <c:pt idx="373">
                  <c:v>-7.8409090909090899</c:v>
                </c:pt>
                <c:pt idx="374">
                  <c:v>-14.814814814814817</c:v>
                </c:pt>
                <c:pt idx="375">
                  <c:v>-0.76923076923076927</c:v>
                </c:pt>
                <c:pt idx="376">
                  <c:v>-10.317460317460323</c:v>
                </c:pt>
                <c:pt idx="377">
                  <c:v>16.043133802816897</c:v>
                </c:pt>
                <c:pt idx="378">
                  <c:v>8.7254901960784323</c:v>
                </c:pt>
                <c:pt idx="379">
                  <c:v>9.3629629629629658</c:v>
                </c:pt>
                <c:pt idx="380">
                  <c:v>-22.093023255813947</c:v>
                </c:pt>
                <c:pt idx="381">
                  <c:v>0.20110608345902473</c:v>
                </c:pt>
                <c:pt idx="382">
                  <c:v>9.1617523167649573</c:v>
                </c:pt>
                <c:pt idx="383">
                  <c:v>-3.6739380022962123</c:v>
                </c:pt>
                <c:pt idx="384">
                  <c:v>-15.425531914893623</c:v>
                </c:pt>
                <c:pt idx="385">
                  <c:v>19.415335280306923</c:v>
                </c:pt>
                <c:pt idx="386">
                  <c:v>8.5317634654248256</c:v>
                </c:pt>
                <c:pt idx="387">
                  <c:v>-9.4922737306843228</c:v>
                </c:pt>
                <c:pt idx="388">
                  <c:v>-13.246268656716413</c:v>
                </c:pt>
                <c:pt idx="389">
                  <c:v>-14.586466165413533</c:v>
                </c:pt>
                <c:pt idx="390">
                  <c:v>-5.1339285714285694</c:v>
                </c:pt>
                <c:pt idx="391">
                  <c:v>-2.2922636103151852</c:v>
                </c:pt>
                <c:pt idx="392">
                  <c:v>5.1630434782608701</c:v>
                </c:pt>
                <c:pt idx="393">
                  <c:v>0</c:v>
                </c:pt>
                <c:pt idx="394">
                  <c:v>0.69742489270386265</c:v>
                </c:pt>
                <c:pt idx="395">
                  <c:v>-10.204081632653061</c:v>
                </c:pt>
                <c:pt idx="396">
                  <c:v>-6.6339066339066335</c:v>
                </c:pt>
                <c:pt idx="397">
                  <c:v>-7.3684210526315788</c:v>
                </c:pt>
                <c:pt idx="398">
                  <c:v>-29.859719438877747</c:v>
                </c:pt>
                <c:pt idx="399">
                  <c:v>-5.1759834368530004</c:v>
                </c:pt>
                <c:pt idx="400">
                  <c:v>11.415004748338086</c:v>
                </c:pt>
                <c:pt idx="401">
                  <c:v>8.5508550855085517</c:v>
                </c:pt>
                <c:pt idx="402">
                  <c:v>-4.9756097560975627</c:v>
                </c:pt>
                <c:pt idx="403">
                  <c:v>5.501618122977348</c:v>
                </c:pt>
                <c:pt idx="404">
                  <c:v>16.425120772946844</c:v>
                </c:pt>
                <c:pt idx="405">
                  <c:v>-4.0106951871657754</c:v>
                </c:pt>
                <c:pt idx="406">
                  <c:v>-4.4787077826725445</c:v>
                </c:pt>
                <c:pt idx="407">
                  <c:v>7.9586563307493536</c:v>
                </c:pt>
                <c:pt idx="408">
                  <c:v>-2.7777777777777799</c:v>
                </c:pt>
                <c:pt idx="409">
                  <c:v>-25.04051863857373</c:v>
                </c:pt>
                <c:pt idx="410">
                  <c:v>0.88005215123859193</c:v>
                </c:pt>
                <c:pt idx="411">
                  <c:v>24.94132707488798</c:v>
                </c:pt>
                <c:pt idx="412">
                  <c:v>16.189624329159212</c:v>
                </c:pt>
                <c:pt idx="413">
                  <c:v>24.441076165214103</c:v>
                </c:pt>
                <c:pt idx="414">
                  <c:v>-34.369885433715197</c:v>
                </c:pt>
                <c:pt idx="415">
                  <c:v>-13.2</c:v>
                </c:pt>
                <c:pt idx="416">
                  <c:v>-18.636363636363626</c:v>
                </c:pt>
                <c:pt idx="417">
                  <c:v>-23.546944858420261</c:v>
                </c:pt>
                <c:pt idx="418">
                  <c:v>-13.901601830663619</c:v>
                </c:pt>
                <c:pt idx="419">
                  <c:v>-1.8575851393188862</c:v>
                </c:pt>
                <c:pt idx="420">
                  <c:v>12.857142857142865</c:v>
                </c:pt>
                <c:pt idx="421">
                  <c:v>-16.835994194484776</c:v>
                </c:pt>
                <c:pt idx="422">
                  <c:v>-3.5051546391752577</c:v>
                </c:pt>
                <c:pt idx="423">
                  <c:v>-3.4979423868312747</c:v>
                </c:pt>
                <c:pt idx="424">
                  <c:v>-2.301255230125522</c:v>
                </c:pt>
                <c:pt idx="425">
                  <c:v>4.4817927170868384</c:v>
                </c:pt>
                <c:pt idx="426">
                  <c:v>-13.629283489096567</c:v>
                </c:pt>
                <c:pt idx="427">
                  <c:v>37.137377127787097</c:v>
                </c:pt>
              </c:numCache>
            </c:numRef>
          </c:xVal>
          <c:yVal>
            <c:numRef>
              <c:f>'Arbvekst og flytting'!$C$17:$C$444</c:f>
              <c:numCache>
                <c:formatCode>0.0</c:formatCode>
                <c:ptCount val="428"/>
                <c:pt idx="0">
                  <c:v>11.108244573029152</c:v>
                </c:pt>
                <c:pt idx="1">
                  <c:v>13.730980363261246</c:v>
                </c:pt>
                <c:pt idx="2">
                  <c:v>10.816160690100643</c:v>
                </c:pt>
                <c:pt idx="3">
                  <c:v>13.110664338229904</c:v>
                </c:pt>
                <c:pt idx="4">
                  <c:v>27.283105022831052</c:v>
                </c:pt>
                <c:pt idx="5">
                  <c:v>0.7047216349541936</c:v>
                </c:pt>
                <c:pt idx="6">
                  <c:v>11.650774731823599</c:v>
                </c:pt>
                <c:pt idx="7">
                  <c:v>6.4610866372980889</c:v>
                </c:pt>
                <c:pt idx="8">
                  <c:v>9.4489795918367339</c:v>
                </c:pt>
                <c:pt idx="9">
                  <c:v>20.3772757183593</c:v>
                </c:pt>
                <c:pt idx="10">
                  <c:v>10.989575686389667</c:v>
                </c:pt>
                <c:pt idx="11">
                  <c:v>13.184255792775467</c:v>
                </c:pt>
                <c:pt idx="12">
                  <c:v>12.418300653594768</c:v>
                </c:pt>
                <c:pt idx="13">
                  <c:v>11.721151159541767</c:v>
                </c:pt>
                <c:pt idx="14">
                  <c:v>12.621513944223103</c:v>
                </c:pt>
                <c:pt idx="15">
                  <c:v>9.9145933902710688</c:v>
                </c:pt>
                <c:pt idx="16">
                  <c:v>15.39022611232677</c:v>
                </c:pt>
                <c:pt idx="17">
                  <c:v>9.4588550983899857</c:v>
                </c:pt>
                <c:pt idx="18">
                  <c:v>21.468834245568157</c:v>
                </c:pt>
                <c:pt idx="19">
                  <c:v>7.4013157894736876</c:v>
                </c:pt>
                <c:pt idx="20">
                  <c:v>21.079635785518139</c:v>
                </c:pt>
                <c:pt idx="21">
                  <c:v>16.367127496159753</c:v>
                </c:pt>
                <c:pt idx="22">
                  <c:v>11.246298442126948</c:v>
                </c:pt>
                <c:pt idx="23">
                  <c:v>8.0848474311049294</c:v>
                </c:pt>
                <c:pt idx="24">
                  <c:v>10.588119202684034</c:v>
                </c:pt>
                <c:pt idx="25">
                  <c:v>10.656249370733573</c:v>
                </c:pt>
                <c:pt idx="26">
                  <c:v>21.273915439729148</c:v>
                </c:pt>
                <c:pt idx="27">
                  <c:v>30.117435981079758</c:v>
                </c:pt>
                <c:pt idx="28">
                  <c:v>12.101163162949518</c:v>
                </c:pt>
                <c:pt idx="29">
                  <c:v>4.0316529094754072</c:v>
                </c:pt>
                <c:pt idx="30">
                  <c:v>9.9316985779867917</c:v>
                </c:pt>
                <c:pt idx="31">
                  <c:v>9.195441057458865</c:v>
                </c:pt>
                <c:pt idx="32">
                  <c:v>22.676541948665559</c:v>
                </c:pt>
                <c:pt idx="33">
                  <c:v>9.808890296695175</c:v>
                </c:pt>
                <c:pt idx="34">
                  <c:v>26.095360824742269</c:v>
                </c:pt>
                <c:pt idx="35">
                  <c:v>41.840186782293785</c:v>
                </c:pt>
                <c:pt idx="36">
                  <c:v>15.964104380682489</c:v>
                </c:pt>
                <c:pt idx="37">
                  <c:v>24.38349980249421</c:v>
                </c:pt>
                <c:pt idx="38">
                  <c:v>20.422152105320414</c:v>
                </c:pt>
                <c:pt idx="39">
                  <c:v>3.7471612414837256</c:v>
                </c:pt>
                <c:pt idx="40">
                  <c:v>12.998156178375</c:v>
                </c:pt>
                <c:pt idx="41">
                  <c:v>5.2410780989598322</c:v>
                </c:pt>
                <c:pt idx="42">
                  <c:v>11.671324762437111</c:v>
                </c:pt>
                <c:pt idx="43">
                  <c:v>5.315258511979823</c:v>
                </c:pt>
                <c:pt idx="44">
                  <c:v>5.7979017117614564</c:v>
                </c:pt>
                <c:pt idx="45">
                  <c:v>9.3965660023187763</c:v>
                </c:pt>
                <c:pt idx="46">
                  <c:v>6.5332548557975283</c:v>
                </c:pt>
                <c:pt idx="47">
                  <c:v>9.4260634706279536</c:v>
                </c:pt>
                <c:pt idx="48">
                  <c:v>5.2500389468764581</c:v>
                </c:pt>
                <c:pt idx="49">
                  <c:v>-0.39811798769453516</c:v>
                </c:pt>
                <c:pt idx="50">
                  <c:v>2.9028656494231466</c:v>
                </c:pt>
                <c:pt idx="51">
                  <c:v>2.2354694485842028</c:v>
                </c:pt>
                <c:pt idx="52">
                  <c:v>10.897049969897656</c:v>
                </c:pt>
                <c:pt idx="53">
                  <c:v>1.037816320727893</c:v>
                </c:pt>
                <c:pt idx="54">
                  <c:v>5.1865332120109171</c:v>
                </c:pt>
                <c:pt idx="55">
                  <c:v>0.40719375636240246</c:v>
                </c:pt>
                <c:pt idx="56">
                  <c:v>-3.7653239929947468</c:v>
                </c:pt>
                <c:pt idx="57">
                  <c:v>-4.1397153945666263</c:v>
                </c:pt>
                <c:pt idx="58">
                  <c:v>-6.0340098738343393</c:v>
                </c:pt>
                <c:pt idx="59">
                  <c:v>2.934702861335289</c:v>
                </c:pt>
                <c:pt idx="60">
                  <c:v>0.33126293995859235</c:v>
                </c:pt>
                <c:pt idx="61">
                  <c:v>-6.0706401766004419</c:v>
                </c:pt>
                <c:pt idx="62">
                  <c:v>-5.7090239410681418</c:v>
                </c:pt>
                <c:pt idx="63">
                  <c:v>7.7634382663932762</c:v>
                </c:pt>
                <c:pt idx="64">
                  <c:v>8.8634607601457027</c:v>
                </c:pt>
                <c:pt idx="65">
                  <c:v>-0.66086956521739149</c:v>
                </c:pt>
                <c:pt idx="66">
                  <c:v>-3.9928218932256603</c:v>
                </c:pt>
                <c:pt idx="67">
                  <c:v>1.2138970280452073</c:v>
                </c:pt>
                <c:pt idx="68">
                  <c:v>-4.5366421093447107</c:v>
                </c:pt>
                <c:pt idx="69">
                  <c:v>-0.54787372815027391</c:v>
                </c:pt>
                <c:pt idx="70">
                  <c:v>-0.80699394754539366</c:v>
                </c:pt>
                <c:pt idx="71">
                  <c:v>-2.3281952472703935</c:v>
                </c:pt>
                <c:pt idx="72">
                  <c:v>-0.98891219658375762</c:v>
                </c:pt>
                <c:pt idx="73">
                  <c:v>0.97128378378378377</c:v>
                </c:pt>
                <c:pt idx="74">
                  <c:v>5.9673755936403063</c:v>
                </c:pt>
                <c:pt idx="75">
                  <c:v>3.2419354838709675</c:v>
                </c:pt>
                <c:pt idx="76">
                  <c:v>4.1922940968540106</c:v>
                </c:pt>
                <c:pt idx="77">
                  <c:v>3.4860709392601597</c:v>
                </c:pt>
                <c:pt idx="78">
                  <c:v>7.0733718054410568</c:v>
                </c:pt>
                <c:pt idx="79">
                  <c:v>2.5032625459722397</c:v>
                </c:pt>
                <c:pt idx="80">
                  <c:v>7.2092844516178634</c:v>
                </c:pt>
                <c:pt idx="81">
                  <c:v>-0.59016393442622928</c:v>
                </c:pt>
                <c:pt idx="82">
                  <c:v>3.1842524243740034</c:v>
                </c:pt>
                <c:pt idx="83">
                  <c:v>-1.7820017820017819</c:v>
                </c:pt>
                <c:pt idx="84">
                  <c:v>6.6290550070521865</c:v>
                </c:pt>
                <c:pt idx="85">
                  <c:v>0.65739183611068697</c:v>
                </c:pt>
                <c:pt idx="86">
                  <c:v>-2.5708061002178639</c:v>
                </c:pt>
                <c:pt idx="87">
                  <c:v>4.7479674796747968</c:v>
                </c:pt>
                <c:pt idx="88">
                  <c:v>0.11926058437686349</c:v>
                </c:pt>
                <c:pt idx="89">
                  <c:v>15.453444442435968</c:v>
                </c:pt>
                <c:pt idx="90">
                  <c:v>13.204945739192315</c:v>
                </c:pt>
                <c:pt idx="91">
                  <c:v>6.6571530503032443</c:v>
                </c:pt>
                <c:pt idx="92">
                  <c:v>25.835987261146503</c:v>
                </c:pt>
                <c:pt idx="93">
                  <c:v>6.9418386491557227</c:v>
                </c:pt>
                <c:pt idx="94">
                  <c:v>-0.67151650811415786</c:v>
                </c:pt>
                <c:pt idx="95">
                  <c:v>3.5291438979963581</c:v>
                </c:pt>
                <c:pt idx="96">
                  <c:v>7.6426799007444171</c:v>
                </c:pt>
                <c:pt idx="97">
                  <c:v>0.86098278034439313</c:v>
                </c:pt>
                <c:pt idx="98">
                  <c:v>-3.0868167202572345</c:v>
                </c:pt>
                <c:pt idx="99">
                  <c:v>2.4691358024691366</c:v>
                </c:pt>
                <c:pt idx="100">
                  <c:v>4.3015521064301554</c:v>
                </c:pt>
                <c:pt idx="101">
                  <c:v>9.2924603809828685</c:v>
                </c:pt>
                <c:pt idx="102">
                  <c:v>15.285911693097319</c:v>
                </c:pt>
                <c:pt idx="103">
                  <c:v>9.8371777476255051</c:v>
                </c:pt>
                <c:pt idx="104">
                  <c:v>11.963788300835654</c:v>
                </c:pt>
                <c:pt idx="105">
                  <c:v>17.300620893363057</c:v>
                </c:pt>
                <c:pt idx="106">
                  <c:v>9.792776791000593</c:v>
                </c:pt>
                <c:pt idx="107">
                  <c:v>4.7337278106508895</c:v>
                </c:pt>
                <c:pt idx="108">
                  <c:v>-3.4899328859060401</c:v>
                </c:pt>
                <c:pt idx="109">
                  <c:v>-1.9237749546279492</c:v>
                </c:pt>
                <c:pt idx="110">
                  <c:v>9.9089359224915725</c:v>
                </c:pt>
                <c:pt idx="111">
                  <c:v>11.96717817561807</c:v>
                </c:pt>
                <c:pt idx="112">
                  <c:v>16.064874093043116</c:v>
                </c:pt>
                <c:pt idx="113">
                  <c:v>12.232185467058498</c:v>
                </c:pt>
                <c:pt idx="114">
                  <c:v>5.9683881910474179</c:v>
                </c:pt>
                <c:pt idx="115">
                  <c:v>2.0885286783042396</c:v>
                </c:pt>
                <c:pt idx="116">
                  <c:v>15.76624765980209</c:v>
                </c:pt>
                <c:pt idx="117">
                  <c:v>2.9292929292929286</c:v>
                </c:pt>
                <c:pt idx="118">
                  <c:v>6.8176163224682735</c:v>
                </c:pt>
                <c:pt idx="119">
                  <c:v>15.389473684210524</c:v>
                </c:pt>
                <c:pt idx="120">
                  <c:v>13.575366690939354</c:v>
                </c:pt>
                <c:pt idx="121">
                  <c:v>8.0133725053186105</c:v>
                </c:pt>
                <c:pt idx="122">
                  <c:v>10.837004405286347</c:v>
                </c:pt>
                <c:pt idx="123">
                  <c:v>3.484031522189964</c:v>
                </c:pt>
                <c:pt idx="124">
                  <c:v>7.6962529415314069</c:v>
                </c:pt>
                <c:pt idx="125">
                  <c:v>6.3671089666264526</c:v>
                </c:pt>
                <c:pt idx="126">
                  <c:v>4.9771540469973869</c:v>
                </c:pt>
                <c:pt idx="127">
                  <c:v>0.86281276962899067</c:v>
                </c:pt>
                <c:pt idx="128">
                  <c:v>-2.594206974128233</c:v>
                </c:pt>
                <c:pt idx="129">
                  <c:v>3.1450094161958568</c:v>
                </c:pt>
                <c:pt idx="130">
                  <c:v>1.7380952380952379</c:v>
                </c:pt>
                <c:pt idx="131">
                  <c:v>1.9843656043295255</c:v>
                </c:pt>
                <c:pt idx="132">
                  <c:v>11.980295566502464</c:v>
                </c:pt>
                <c:pt idx="133">
                  <c:v>-6.8306010928961797E-2</c:v>
                </c:pt>
                <c:pt idx="134">
                  <c:v>-5.1067073170731714</c:v>
                </c:pt>
                <c:pt idx="135">
                  <c:v>-0.4770423375074539</c:v>
                </c:pt>
                <c:pt idx="136">
                  <c:v>3.918228279386712</c:v>
                </c:pt>
                <c:pt idx="137">
                  <c:v>-3.0711610486891394</c:v>
                </c:pt>
                <c:pt idx="138">
                  <c:v>1.367053998632946</c:v>
                </c:pt>
                <c:pt idx="139">
                  <c:v>0.89020771513353114</c:v>
                </c:pt>
                <c:pt idx="140">
                  <c:v>-2.8548451950140712</c:v>
                </c:pt>
                <c:pt idx="141">
                  <c:v>-1.0960334029227561</c:v>
                </c:pt>
                <c:pt idx="142">
                  <c:v>2.0877716233489569</c:v>
                </c:pt>
                <c:pt idx="143">
                  <c:v>13.51096831376025</c:v>
                </c:pt>
                <c:pt idx="144">
                  <c:v>8.5923078868182206</c:v>
                </c:pt>
                <c:pt idx="145">
                  <c:v>2.6474127557160059</c:v>
                </c:pt>
                <c:pt idx="146">
                  <c:v>8.7595212187160012</c:v>
                </c:pt>
                <c:pt idx="147">
                  <c:v>3.4035383319292332</c:v>
                </c:pt>
                <c:pt idx="148">
                  <c:v>14.078310602727671</c:v>
                </c:pt>
                <c:pt idx="149">
                  <c:v>8.933393339333934</c:v>
                </c:pt>
                <c:pt idx="150">
                  <c:v>8.536585365853659</c:v>
                </c:pt>
                <c:pt idx="151">
                  <c:v>4.3689320388349486</c:v>
                </c:pt>
                <c:pt idx="152">
                  <c:v>10.317460317460323</c:v>
                </c:pt>
                <c:pt idx="153">
                  <c:v>4.7930931824947933</c:v>
                </c:pt>
                <c:pt idx="154">
                  <c:v>-4.3997017151379572</c:v>
                </c:pt>
                <c:pt idx="155">
                  <c:v>-7.6236263736263714</c:v>
                </c:pt>
                <c:pt idx="156">
                  <c:v>2.2624434389140267</c:v>
                </c:pt>
                <c:pt idx="157">
                  <c:v>11.19487733796708</c:v>
                </c:pt>
                <c:pt idx="158">
                  <c:v>10.413384349913722</c:v>
                </c:pt>
                <c:pt idx="159">
                  <c:v>-2.2649350649350652</c:v>
                </c:pt>
                <c:pt idx="160">
                  <c:v>0.54139408978118653</c:v>
                </c:pt>
                <c:pt idx="161">
                  <c:v>6.9885433715220966</c:v>
                </c:pt>
                <c:pt idx="162">
                  <c:v>5.5897250361794484</c:v>
                </c:pt>
                <c:pt idx="163">
                  <c:v>11.840369393139841</c:v>
                </c:pt>
                <c:pt idx="164">
                  <c:v>2.780309936189608</c:v>
                </c:pt>
                <c:pt idx="165">
                  <c:v>7.8431372549019605</c:v>
                </c:pt>
                <c:pt idx="166">
                  <c:v>7.3201782304264764</c:v>
                </c:pt>
                <c:pt idx="167">
                  <c:v>5.4967334985357077</c:v>
                </c:pt>
                <c:pt idx="168">
                  <c:v>6.4805723102819472</c:v>
                </c:pt>
                <c:pt idx="169">
                  <c:v>-1.2172854534388313</c:v>
                </c:pt>
                <c:pt idx="170">
                  <c:v>3.4613304488912942</c:v>
                </c:pt>
                <c:pt idx="171">
                  <c:v>5.0662061024755323</c:v>
                </c:pt>
                <c:pt idx="172">
                  <c:v>6.2448273267624694</c:v>
                </c:pt>
                <c:pt idx="173">
                  <c:v>20.042703304864457</c:v>
                </c:pt>
                <c:pt idx="174">
                  <c:v>9.8366529472291671</c:v>
                </c:pt>
                <c:pt idx="175">
                  <c:v>12.862230063053353</c:v>
                </c:pt>
                <c:pt idx="176">
                  <c:v>-2.6833631484794291</c:v>
                </c:pt>
                <c:pt idx="177">
                  <c:v>-6.4226075786769435E-2</c:v>
                </c:pt>
                <c:pt idx="178">
                  <c:v>6.7660088602496975</c:v>
                </c:pt>
                <c:pt idx="179">
                  <c:v>14.810587144182069</c:v>
                </c:pt>
                <c:pt idx="180">
                  <c:v>18.071161048689138</c:v>
                </c:pt>
                <c:pt idx="181">
                  <c:v>18.509740019257826</c:v>
                </c:pt>
                <c:pt idx="182">
                  <c:v>12.040022234574764</c:v>
                </c:pt>
                <c:pt idx="183">
                  <c:v>18.277874152341901</c:v>
                </c:pt>
                <c:pt idx="184">
                  <c:v>7.087422962793883</c:v>
                </c:pt>
                <c:pt idx="185">
                  <c:v>14.036786060019365</c:v>
                </c:pt>
                <c:pt idx="186">
                  <c:v>10.381064623846004</c:v>
                </c:pt>
                <c:pt idx="187">
                  <c:v>2.2950819672131146</c:v>
                </c:pt>
                <c:pt idx="188">
                  <c:v>-2.6719445818901542</c:v>
                </c:pt>
                <c:pt idx="189">
                  <c:v>-0.53795576808129109</c:v>
                </c:pt>
                <c:pt idx="190">
                  <c:v>5.0805886475122621</c:v>
                </c:pt>
                <c:pt idx="191">
                  <c:v>36.584595959595958</c:v>
                </c:pt>
                <c:pt idx="192">
                  <c:v>3.780718336483933</c:v>
                </c:pt>
                <c:pt idx="193">
                  <c:v>6.1868686868686886</c:v>
                </c:pt>
                <c:pt idx="194">
                  <c:v>9.2041755528117619</c:v>
                </c:pt>
                <c:pt idx="195">
                  <c:v>4.9697132857719772</c:v>
                </c:pt>
                <c:pt idx="196">
                  <c:v>-5.6034482758620694</c:v>
                </c:pt>
                <c:pt idx="197">
                  <c:v>2.7494783355836496</c:v>
                </c:pt>
                <c:pt idx="198">
                  <c:v>10.210523581065868</c:v>
                </c:pt>
                <c:pt idx="199">
                  <c:v>1.5716096324461339</c:v>
                </c:pt>
                <c:pt idx="200">
                  <c:v>9.7237095737845358</c:v>
                </c:pt>
                <c:pt idx="201">
                  <c:v>0.81188301503828764</c:v>
                </c:pt>
                <c:pt idx="202">
                  <c:v>4.4640108367711333</c:v>
                </c:pt>
                <c:pt idx="203">
                  <c:v>-5.6413700470114154</c:v>
                </c:pt>
                <c:pt idx="204">
                  <c:v>-3.0973451327433628</c:v>
                </c:pt>
                <c:pt idx="205">
                  <c:v>-2.5809869815319417</c:v>
                </c:pt>
                <c:pt idx="206">
                  <c:v>-8.7642418930762508E-2</c:v>
                </c:pt>
                <c:pt idx="207">
                  <c:v>-4.3102318878553652</c:v>
                </c:pt>
                <c:pt idx="208">
                  <c:v>-3.5476718403547682</c:v>
                </c:pt>
                <c:pt idx="209">
                  <c:v>0.69930069930069949</c:v>
                </c:pt>
                <c:pt idx="210">
                  <c:v>-6.0330578512396693</c:v>
                </c:pt>
                <c:pt idx="211">
                  <c:v>-5.4001928640308581</c:v>
                </c:pt>
                <c:pt idx="212">
                  <c:v>2.1020585677007828</c:v>
                </c:pt>
                <c:pt idx="213">
                  <c:v>-0.19769740667519484</c:v>
                </c:pt>
                <c:pt idx="214">
                  <c:v>2.1151271753681393</c:v>
                </c:pt>
                <c:pt idx="215">
                  <c:v>2.5184541901867128</c:v>
                </c:pt>
                <c:pt idx="216">
                  <c:v>22.201545949040931</c:v>
                </c:pt>
                <c:pt idx="217">
                  <c:v>4.340980656770129</c:v>
                </c:pt>
                <c:pt idx="218">
                  <c:v>18.167791706846682</c:v>
                </c:pt>
                <c:pt idx="219">
                  <c:v>15.371339194218223</c:v>
                </c:pt>
                <c:pt idx="220">
                  <c:v>22.268113057324825</c:v>
                </c:pt>
                <c:pt idx="221">
                  <c:v>1.8796098025220078</c:v>
                </c:pt>
                <c:pt idx="222">
                  <c:v>0.84507042253521159</c:v>
                </c:pt>
                <c:pt idx="223">
                  <c:v>7.0649865496248019</c:v>
                </c:pt>
                <c:pt idx="224">
                  <c:v>25.554343874954554</c:v>
                </c:pt>
                <c:pt idx="225">
                  <c:v>19.886670264436049</c:v>
                </c:pt>
                <c:pt idx="226">
                  <c:v>7.825136612021856</c:v>
                </c:pt>
                <c:pt idx="227">
                  <c:v>11.497091865190022</c:v>
                </c:pt>
                <c:pt idx="228">
                  <c:v>11.221252973830293</c:v>
                </c:pt>
                <c:pt idx="229">
                  <c:v>-10.61046511627907</c:v>
                </c:pt>
                <c:pt idx="230">
                  <c:v>-1.8739352640545144</c:v>
                </c:pt>
                <c:pt idx="231">
                  <c:v>-1.8675871835723141</c:v>
                </c:pt>
                <c:pt idx="232">
                  <c:v>-2.6283865750101092</c:v>
                </c:pt>
                <c:pt idx="233">
                  <c:v>-5.1227321237993575</c:v>
                </c:pt>
                <c:pt idx="234">
                  <c:v>-5.5840821566110384</c:v>
                </c:pt>
                <c:pt idx="235">
                  <c:v>-8.403180743606276</c:v>
                </c:pt>
                <c:pt idx="236">
                  <c:v>-4.2473666326877337</c:v>
                </c:pt>
                <c:pt idx="237">
                  <c:v>-12.483660130718954</c:v>
                </c:pt>
                <c:pt idx="238">
                  <c:v>9.1407678244972576E-2</c:v>
                </c:pt>
                <c:pt idx="239">
                  <c:v>7.7779449375658167</c:v>
                </c:pt>
                <c:pt idx="240">
                  <c:v>-4.4882320744389714</c:v>
                </c:pt>
                <c:pt idx="241">
                  <c:v>-0.68150840527033152</c:v>
                </c:pt>
                <c:pt idx="242">
                  <c:v>-3.9236111111111112</c:v>
                </c:pt>
                <c:pt idx="243">
                  <c:v>3.0076705692369812</c:v>
                </c:pt>
                <c:pt idx="244">
                  <c:v>-7.4874223142941734</c:v>
                </c:pt>
                <c:pt idx="245">
                  <c:v>-0.64713896457765652</c:v>
                </c:pt>
                <c:pt idx="246">
                  <c:v>1.8200910045502279</c:v>
                </c:pt>
                <c:pt idx="247">
                  <c:v>0.26954177897574133</c:v>
                </c:pt>
                <c:pt idx="248">
                  <c:v>4.0199117122194048</c:v>
                </c:pt>
                <c:pt idx="249">
                  <c:v>-3.7390029325513194</c:v>
                </c:pt>
                <c:pt idx="250">
                  <c:v>-2.5126842232423288</c:v>
                </c:pt>
                <c:pt idx="251">
                  <c:v>-6.1087735702041464</c:v>
                </c:pt>
                <c:pt idx="252">
                  <c:v>-6.9190600522193231</c:v>
                </c:pt>
                <c:pt idx="253">
                  <c:v>-1.6206896551724133</c:v>
                </c:pt>
                <c:pt idx="254">
                  <c:v>-2.8735632183908044</c:v>
                </c:pt>
                <c:pt idx="255">
                  <c:v>-0.28099754127151383</c:v>
                </c:pt>
                <c:pt idx="256">
                  <c:v>1.431945674638323</c:v>
                </c:pt>
                <c:pt idx="257">
                  <c:v>5.788078913052626</c:v>
                </c:pt>
                <c:pt idx="258">
                  <c:v>9.8803235601827009</c:v>
                </c:pt>
                <c:pt idx="259">
                  <c:v>7.8632555222008156</c:v>
                </c:pt>
                <c:pt idx="260">
                  <c:v>-13.731596828992073</c:v>
                </c:pt>
                <c:pt idx="261">
                  <c:v>1.3824884792626733</c:v>
                </c:pt>
                <c:pt idx="262">
                  <c:v>2.22514654863022</c:v>
                </c:pt>
                <c:pt idx="263">
                  <c:v>13.272864701436131</c:v>
                </c:pt>
                <c:pt idx="264">
                  <c:v>1.19672475330674</c:v>
                </c:pt>
                <c:pt idx="265">
                  <c:v>4.506128334534969</c:v>
                </c:pt>
                <c:pt idx="266">
                  <c:v>-1.013744029632518</c:v>
                </c:pt>
                <c:pt idx="267">
                  <c:v>7.3844687946641301</c:v>
                </c:pt>
                <c:pt idx="268">
                  <c:v>-10.337768679631521</c:v>
                </c:pt>
                <c:pt idx="269">
                  <c:v>-2.1477663230240549</c:v>
                </c:pt>
                <c:pt idx="270">
                  <c:v>-5.7943925233644862</c:v>
                </c:pt>
                <c:pt idx="271">
                  <c:v>-0.58241907083841249</c:v>
                </c:pt>
                <c:pt idx="272">
                  <c:v>16.133597509198985</c:v>
                </c:pt>
                <c:pt idx="273">
                  <c:v>13.601017955605823</c:v>
                </c:pt>
                <c:pt idx="274">
                  <c:v>12.447224394057853</c:v>
                </c:pt>
                <c:pt idx="275">
                  <c:v>1.2852593266606005</c:v>
                </c:pt>
                <c:pt idx="276">
                  <c:v>1.7884674683934629</c:v>
                </c:pt>
                <c:pt idx="277">
                  <c:v>1.0644031258420916</c:v>
                </c:pt>
                <c:pt idx="278">
                  <c:v>-4.7560601411475911</c:v>
                </c:pt>
                <c:pt idx="279">
                  <c:v>1.1639676113360324</c:v>
                </c:pt>
                <c:pt idx="280">
                  <c:v>-7.5872534142640419E-2</c:v>
                </c:pt>
                <c:pt idx="281">
                  <c:v>8.9285714285714217</c:v>
                </c:pt>
                <c:pt idx="282">
                  <c:v>2.4889380530973462</c:v>
                </c:pt>
                <c:pt idx="283">
                  <c:v>1.1786600496277919</c:v>
                </c:pt>
                <c:pt idx="284">
                  <c:v>4.0714812085482679</c:v>
                </c:pt>
                <c:pt idx="285">
                  <c:v>-4.2168674698795181</c:v>
                </c:pt>
                <c:pt idx="286">
                  <c:v>1.0869565217391308</c:v>
                </c:pt>
                <c:pt idx="287">
                  <c:v>-1.7506059789927286</c:v>
                </c:pt>
                <c:pt idx="288">
                  <c:v>-1.6645326504481435</c:v>
                </c:pt>
                <c:pt idx="289">
                  <c:v>1.5573383671543177</c:v>
                </c:pt>
                <c:pt idx="290">
                  <c:v>-5.0724637681159415</c:v>
                </c:pt>
                <c:pt idx="291">
                  <c:v>-4.4869131699210634</c:v>
                </c:pt>
                <c:pt idx="292">
                  <c:v>-1.056245048851334</c:v>
                </c:pt>
                <c:pt idx="293">
                  <c:v>12.388956221781232</c:v>
                </c:pt>
                <c:pt idx="294">
                  <c:v>-4.3368517668655349</c:v>
                </c:pt>
                <c:pt idx="295">
                  <c:v>-3.0442804428044288</c:v>
                </c:pt>
                <c:pt idx="296">
                  <c:v>13.5498046875</c:v>
                </c:pt>
                <c:pt idx="297">
                  <c:v>12.424021395575002</c:v>
                </c:pt>
                <c:pt idx="298">
                  <c:v>-0.39549139806209227</c:v>
                </c:pt>
                <c:pt idx="299">
                  <c:v>1.7136539524599221</c:v>
                </c:pt>
                <c:pt idx="300">
                  <c:v>2.7688047992616536</c:v>
                </c:pt>
                <c:pt idx="301">
                  <c:v>2.7914966716770455</c:v>
                </c:pt>
                <c:pt idx="302">
                  <c:v>5.8858151854031808E-2</c:v>
                </c:pt>
                <c:pt idx="303">
                  <c:v>-2.3008849557522133</c:v>
                </c:pt>
                <c:pt idx="304">
                  <c:v>-8.9285714285714217</c:v>
                </c:pt>
                <c:pt idx="305">
                  <c:v>6.5275802117907347</c:v>
                </c:pt>
                <c:pt idx="306">
                  <c:v>-0.33308660251665456</c:v>
                </c:pt>
                <c:pt idx="307">
                  <c:v>3.9225422045680229</c:v>
                </c:pt>
                <c:pt idx="308">
                  <c:v>9.3592233009708696</c:v>
                </c:pt>
                <c:pt idx="309">
                  <c:v>3.3607436539149087</c:v>
                </c:pt>
                <c:pt idx="310">
                  <c:v>1.2283894449499546</c:v>
                </c:pt>
                <c:pt idx="311">
                  <c:v>11.066920283589832</c:v>
                </c:pt>
                <c:pt idx="312">
                  <c:v>11.584724101638848</c:v>
                </c:pt>
                <c:pt idx="313">
                  <c:v>16.712141882673929</c:v>
                </c:pt>
                <c:pt idx="314">
                  <c:v>7.9863891112890331</c:v>
                </c:pt>
                <c:pt idx="315">
                  <c:v>8.6783439490445815</c:v>
                </c:pt>
                <c:pt idx="316">
                  <c:v>3.8123902683722095</c:v>
                </c:pt>
                <c:pt idx="317">
                  <c:v>-4.5989304812834222</c:v>
                </c:pt>
                <c:pt idx="318">
                  <c:v>4.1019901707946094</c:v>
                </c:pt>
                <c:pt idx="319">
                  <c:v>1.5733419396482173</c:v>
                </c:pt>
                <c:pt idx="320">
                  <c:v>4.0107983031237966</c:v>
                </c:pt>
                <c:pt idx="321">
                  <c:v>16.022308858566163</c:v>
                </c:pt>
                <c:pt idx="322">
                  <c:v>9.7821619399917754</c:v>
                </c:pt>
                <c:pt idx="323">
                  <c:v>-0.56850483229107485</c:v>
                </c:pt>
                <c:pt idx="324">
                  <c:v>5.0925130320215386</c:v>
                </c:pt>
                <c:pt idx="325">
                  <c:v>4.5317885165358947</c:v>
                </c:pt>
                <c:pt idx="326">
                  <c:v>3.3198081888601974</c:v>
                </c:pt>
                <c:pt idx="327">
                  <c:v>-6.2875888463641321</c:v>
                </c:pt>
                <c:pt idx="328">
                  <c:v>-4.2832909245123005</c:v>
                </c:pt>
                <c:pt idx="329">
                  <c:v>-4.9232736572890028</c:v>
                </c:pt>
                <c:pt idx="330">
                  <c:v>-14.675767918088745</c:v>
                </c:pt>
                <c:pt idx="331">
                  <c:v>-1.9895287958115184</c:v>
                </c:pt>
                <c:pt idx="332">
                  <c:v>-1.6718506998444786</c:v>
                </c:pt>
                <c:pt idx="333">
                  <c:v>-6.7567567567567552</c:v>
                </c:pt>
                <c:pt idx="334">
                  <c:v>0.52399338113623806</c:v>
                </c:pt>
                <c:pt idx="335">
                  <c:v>-10.897435897435905</c:v>
                </c:pt>
                <c:pt idx="336">
                  <c:v>-3.7037037037037042</c:v>
                </c:pt>
                <c:pt idx="337">
                  <c:v>6.5552699228791802</c:v>
                </c:pt>
                <c:pt idx="338">
                  <c:v>-4.1658882869418985</c:v>
                </c:pt>
                <c:pt idx="339">
                  <c:v>-12.280701754385966</c:v>
                </c:pt>
                <c:pt idx="340">
                  <c:v>-1.4863258026159334</c:v>
                </c:pt>
                <c:pt idx="341">
                  <c:v>7.3808183183183163</c:v>
                </c:pt>
                <c:pt idx="342">
                  <c:v>-0.55983205038488482</c:v>
                </c:pt>
                <c:pt idx="343">
                  <c:v>-14.913657770800627</c:v>
                </c:pt>
                <c:pt idx="344">
                  <c:v>0.66698427822772766</c:v>
                </c:pt>
                <c:pt idx="345">
                  <c:v>3.1061721783371272</c:v>
                </c:pt>
                <c:pt idx="346">
                  <c:v>-4.5325779036827196</c:v>
                </c:pt>
                <c:pt idx="347">
                  <c:v>-6.5972222222222223</c:v>
                </c:pt>
                <c:pt idx="348">
                  <c:v>-2.9348986125933827</c:v>
                </c:pt>
                <c:pt idx="349">
                  <c:v>-2.5121555915721228</c:v>
                </c:pt>
                <c:pt idx="350">
                  <c:v>4.5065344749887354E-2</c:v>
                </c:pt>
                <c:pt idx="351">
                  <c:v>-2.70350344418932</c:v>
                </c:pt>
                <c:pt idx="352">
                  <c:v>-3.7243947858473021</c:v>
                </c:pt>
                <c:pt idx="353">
                  <c:v>-4.7794117647058822</c:v>
                </c:pt>
                <c:pt idx="354">
                  <c:v>-7.586206896551726</c:v>
                </c:pt>
                <c:pt idx="355">
                  <c:v>-0.15682174594877157</c:v>
                </c:pt>
                <c:pt idx="356">
                  <c:v>-1.1794981771391804</c:v>
                </c:pt>
                <c:pt idx="357">
                  <c:v>0.28087665163383191</c:v>
                </c:pt>
                <c:pt idx="358">
                  <c:v>-8.412098298676753</c:v>
                </c:pt>
                <c:pt idx="359">
                  <c:v>6.4655172413793087</c:v>
                </c:pt>
                <c:pt idx="360">
                  <c:v>-13.333333333333334</c:v>
                </c:pt>
                <c:pt idx="361">
                  <c:v>-5.2253045648025811</c:v>
                </c:pt>
                <c:pt idx="362">
                  <c:v>-3.3509700176366843</c:v>
                </c:pt>
                <c:pt idx="363">
                  <c:v>-5.0980392156862742</c:v>
                </c:pt>
                <c:pt idx="364">
                  <c:v>-1.3336068937217891</c:v>
                </c:pt>
                <c:pt idx="365">
                  <c:v>-0.53846950398674509</c:v>
                </c:pt>
                <c:pt idx="366">
                  <c:v>-8.3758503401360542</c:v>
                </c:pt>
                <c:pt idx="367">
                  <c:v>-4.2234332425068102</c:v>
                </c:pt>
                <c:pt idx="368">
                  <c:v>1.1230219499744762</c:v>
                </c:pt>
                <c:pt idx="369">
                  <c:v>-6.3520070577856167</c:v>
                </c:pt>
                <c:pt idx="370">
                  <c:v>0.20815986677768525</c:v>
                </c:pt>
                <c:pt idx="371">
                  <c:v>-11.293634496919923</c:v>
                </c:pt>
                <c:pt idx="372">
                  <c:v>-1.7952127659574468</c:v>
                </c:pt>
                <c:pt idx="373">
                  <c:v>-0.98864884657634589</c:v>
                </c:pt>
                <c:pt idx="374">
                  <c:v>-11.963190184049079</c:v>
                </c:pt>
                <c:pt idx="375">
                  <c:v>2.6992287917737787</c:v>
                </c:pt>
                <c:pt idx="376">
                  <c:v>-8.0437580437580429</c:v>
                </c:pt>
                <c:pt idx="377">
                  <c:v>1.2071687250441074</c:v>
                </c:pt>
                <c:pt idx="378">
                  <c:v>1.0684692542520711</c:v>
                </c:pt>
                <c:pt idx="379">
                  <c:v>0.62195121951219556</c:v>
                </c:pt>
                <c:pt idx="380">
                  <c:v>-6.7613460944736072</c:v>
                </c:pt>
                <c:pt idx="381">
                  <c:v>-2.6001705029838029</c:v>
                </c:pt>
                <c:pt idx="382">
                  <c:v>5.12656199935918</c:v>
                </c:pt>
                <c:pt idx="383">
                  <c:v>-7.8679750223015148</c:v>
                </c:pt>
                <c:pt idx="384">
                  <c:v>-7.8220858895705483</c:v>
                </c:pt>
                <c:pt idx="385">
                  <c:v>7.5109010418400297</c:v>
                </c:pt>
                <c:pt idx="386">
                  <c:v>0.64341347781916691</c:v>
                </c:pt>
                <c:pt idx="387">
                  <c:v>-2.2635658914728682</c:v>
                </c:pt>
                <c:pt idx="388">
                  <c:v>-1.6149870801033597</c:v>
                </c:pt>
                <c:pt idx="389">
                  <c:v>-1.5081206496519719</c:v>
                </c:pt>
                <c:pt idx="390">
                  <c:v>-5.4322876817138512</c:v>
                </c:pt>
                <c:pt idx="391">
                  <c:v>2.4248302618816693</c:v>
                </c:pt>
                <c:pt idx="392">
                  <c:v>-3.5110533159947974</c:v>
                </c:pt>
                <c:pt idx="393">
                  <c:v>-1.7811704834605597</c:v>
                </c:pt>
                <c:pt idx="394">
                  <c:v>-8.4296106118955922</c:v>
                </c:pt>
                <c:pt idx="395">
                  <c:v>3.9975587427525192</c:v>
                </c:pt>
                <c:pt idx="396">
                  <c:v>-1.8209408194233687</c:v>
                </c:pt>
                <c:pt idx="397">
                  <c:v>-6.5064478311840563</c:v>
                </c:pt>
                <c:pt idx="398">
                  <c:v>-13.097345132743364</c:v>
                </c:pt>
                <c:pt idx="399">
                  <c:v>-7.7696526508226711</c:v>
                </c:pt>
                <c:pt idx="400">
                  <c:v>-5.3864799353622428E-2</c:v>
                </c:pt>
                <c:pt idx="401">
                  <c:v>1.0101010101010102</c:v>
                </c:pt>
                <c:pt idx="402">
                  <c:v>-3.6916835699797161</c:v>
                </c:pt>
                <c:pt idx="403">
                  <c:v>-3.883495145631068</c:v>
                </c:pt>
                <c:pt idx="404">
                  <c:v>4.6874999999999982</c:v>
                </c:pt>
                <c:pt idx="405">
                  <c:v>-1.0385114668974469</c:v>
                </c:pt>
                <c:pt idx="406">
                  <c:v>-4.4392523364485994</c:v>
                </c:pt>
                <c:pt idx="407">
                  <c:v>1.0382059800664456</c:v>
                </c:pt>
                <c:pt idx="408">
                  <c:v>-6.0967063770147165</c:v>
                </c:pt>
                <c:pt idx="409">
                  <c:v>-16.369710467706014</c:v>
                </c:pt>
                <c:pt idx="410">
                  <c:v>-2.1566401816118033</c:v>
                </c:pt>
                <c:pt idx="411">
                  <c:v>4.8221688850098188</c:v>
                </c:pt>
                <c:pt idx="412">
                  <c:v>-14.10923276983095</c:v>
                </c:pt>
                <c:pt idx="413">
                  <c:v>4.0693249019263416</c:v>
                </c:pt>
                <c:pt idx="414">
                  <c:v>-19.563687543983097</c:v>
                </c:pt>
                <c:pt idx="415">
                  <c:v>-9.1362126245847151</c:v>
                </c:pt>
                <c:pt idx="416">
                  <c:v>1.0810810810810811</c:v>
                </c:pt>
                <c:pt idx="417">
                  <c:v>-9.1899251191286595</c:v>
                </c:pt>
                <c:pt idx="418">
                  <c:v>-5.1640513552068459</c:v>
                </c:pt>
                <c:pt idx="419">
                  <c:v>-9.9128040385498011</c:v>
                </c:pt>
                <c:pt idx="420">
                  <c:v>-9.7671185262426157</c:v>
                </c:pt>
                <c:pt idx="421">
                  <c:v>-9.1207349081364821</c:v>
                </c:pt>
                <c:pt idx="422">
                  <c:v>-8.0378250591016549</c:v>
                </c:pt>
                <c:pt idx="423">
                  <c:v>-7.9207920792079207</c:v>
                </c:pt>
                <c:pt idx="424">
                  <c:v>-4.3363994743758232</c:v>
                </c:pt>
                <c:pt idx="425">
                  <c:v>0.10384215991692627</c:v>
                </c:pt>
                <c:pt idx="426">
                  <c:v>-12.647898816809466</c:v>
                </c:pt>
                <c:pt idx="427">
                  <c:v>2.9795746472941671</c:v>
                </c:pt>
              </c:numCache>
            </c:numRef>
          </c:yVal>
        </c:ser>
        <c:ser>
          <c:idx val="1"/>
          <c:order val="1"/>
          <c:tx>
            <c:v>Fylke</c:v>
          </c:tx>
          <c:spPr>
            <a:ln w="25400" cap="rnd">
              <a:noFill/>
              <a:round/>
            </a:ln>
            <a:effectLst/>
          </c:spPr>
          <c:marker>
            <c:symbol val="circle"/>
            <c:size val="8"/>
            <c:spPr>
              <a:solidFill>
                <a:schemeClr val="accent2"/>
              </a:solidFill>
              <a:ln w="9525">
                <a:noFill/>
              </a:ln>
              <a:effectLst/>
            </c:spPr>
          </c:marker>
          <c:xVal>
            <c:numRef>
              <c:f>'Arbvekst og flytting'!$O$2:$O$429</c:f>
              <c:numCache>
                <c:formatCode>#,##0.0</c:formatCode>
                <c:ptCount val="428"/>
                <c:pt idx="0">
                  <c:v>0</c:v>
                </c:pt>
                <c:pt idx="1">
                  <c:v>19.282593982649342</c:v>
                </c:pt>
                <c:pt idx="2">
                  <c:v>4.9376299376299384</c:v>
                </c:pt>
                <c:pt idx="3">
                  <c:v>5.9259259259259256</c:v>
                </c:pt>
                <c:pt idx="4">
                  <c:v>13.620604259534424</c:v>
                </c:pt>
                <c:pt idx="5">
                  <c:v>8.5535465924895746</c:v>
                </c:pt>
                <c:pt idx="6">
                  <c:v>-7.3264288454161868</c:v>
                </c:pt>
                <c:pt idx="7">
                  <c:v>5.3833605220228398</c:v>
                </c:pt>
                <c:pt idx="8">
                  <c:v>-5.2421367948077879</c:v>
                </c:pt>
                <c:pt idx="9">
                  <c:v>-4.3576500968366689</c:v>
                </c:pt>
                <c:pt idx="10">
                  <c:v>-11.782296650717704</c:v>
                </c:pt>
                <c:pt idx="11">
                  <c:v>17.145826117076556</c:v>
                </c:pt>
                <c:pt idx="12">
                  <c:v>-4.0407589599437808</c:v>
                </c:pt>
                <c:pt idx="13">
                  <c:v>14.117647058823529</c:v>
                </c:pt>
                <c:pt idx="14">
                  <c:v>-10.5982905982906</c:v>
                </c:pt>
                <c:pt idx="15">
                  <c:v>-4.0522875816993462</c:v>
                </c:pt>
                <c:pt idx="16">
                  <c:v>-16.875</c:v>
                </c:pt>
                <c:pt idx="17">
                  <c:v>-15.205479452054794</c:v>
                </c:pt>
                <c:pt idx="18">
                  <c:v>7.9816813869807017</c:v>
                </c:pt>
                <c:pt idx="19">
                  <c:v>19.883040935672508</c:v>
                </c:pt>
                <c:pt idx="20">
                  <c:v>-7.4074074074074066</c:v>
                </c:pt>
                <c:pt idx="21">
                  <c:v>-6.4596273291925481</c:v>
                </c:pt>
              </c:numCache>
            </c:numRef>
          </c:xVal>
          <c:yVal>
            <c:numRef>
              <c:f>'Arbvekst og flytting'!$P$2:$P$429</c:f>
              <c:numCache>
                <c:formatCode>0.0</c:formatCode>
                <c:ptCount val="428"/>
                <c:pt idx="0">
                  <c:v>5.2410780989598322</c:v>
                </c:pt>
                <c:pt idx="1">
                  <c:v>11.671324762437111</c:v>
                </c:pt>
                <c:pt idx="2">
                  <c:v>5.315258511979823</c:v>
                </c:pt>
                <c:pt idx="3">
                  <c:v>5.7979017117614564</c:v>
                </c:pt>
                <c:pt idx="4">
                  <c:v>9.3965660023187763</c:v>
                </c:pt>
                <c:pt idx="5">
                  <c:v>6.5332548557975283</c:v>
                </c:pt>
                <c:pt idx="6">
                  <c:v>9.4260634706279536</c:v>
                </c:pt>
                <c:pt idx="7">
                  <c:v>5.2500389468764581</c:v>
                </c:pt>
                <c:pt idx="8">
                  <c:v>-0.39811798769453516</c:v>
                </c:pt>
                <c:pt idx="9">
                  <c:v>2.9028656494231466</c:v>
                </c:pt>
                <c:pt idx="10">
                  <c:v>2.2354694485842028</c:v>
                </c:pt>
                <c:pt idx="11">
                  <c:v>10.897049969897656</c:v>
                </c:pt>
                <c:pt idx="12">
                  <c:v>1.037816320727893</c:v>
                </c:pt>
                <c:pt idx="13">
                  <c:v>5.1865332120109171</c:v>
                </c:pt>
                <c:pt idx="14">
                  <c:v>0.40719375636240246</c:v>
                </c:pt>
                <c:pt idx="15">
                  <c:v>-3.7653239929947468</c:v>
                </c:pt>
                <c:pt idx="16">
                  <c:v>-4.1397153945666263</c:v>
                </c:pt>
                <c:pt idx="17">
                  <c:v>-6.0340098738343393</c:v>
                </c:pt>
                <c:pt idx="18">
                  <c:v>2.934702861335289</c:v>
                </c:pt>
                <c:pt idx="19">
                  <c:v>0.33126293995859235</c:v>
                </c:pt>
                <c:pt idx="20">
                  <c:v>-6.0706401766004419</c:v>
                </c:pt>
                <c:pt idx="21">
                  <c:v>-5.7090239410681418</c:v>
                </c:pt>
              </c:numCache>
            </c:numRef>
          </c:yVal>
        </c:ser>
        <c:ser>
          <c:idx val="7"/>
          <c:order val="2"/>
          <c:tx>
            <c:strRef>
              <c:f>'Arbvekst og flytting'!$N$8</c:f>
              <c:strCache>
                <c:ptCount val="1"/>
                <c:pt idx="0">
                  <c:v>Sør-Odal</c:v>
                </c:pt>
              </c:strCache>
            </c:strRef>
          </c:tx>
          <c:spPr>
            <a:ln w="25400" cap="rnd">
              <a:noFill/>
              <a:round/>
            </a:ln>
            <a:effectLst/>
          </c:spPr>
          <c:marker>
            <c:symbol val="circle"/>
            <c:size val="9"/>
            <c:spPr>
              <a:solidFill>
                <a:schemeClr val="accent3">
                  <a:lumMod val="75000"/>
                </a:schemeClr>
              </a:solidFill>
              <a:ln w="9525">
                <a:solidFill>
                  <a:schemeClr val="tx1"/>
                </a:solidFill>
              </a:ln>
              <a:effectLst/>
            </c:spPr>
          </c:marker>
          <c:dLbls>
            <c:dLbl>
              <c:idx val="0"/>
              <c:layout>
                <c:manualLayout>
                  <c:x val="-0.12609457092819615"/>
                  <c:y val="-7.3868875572241453E-3"/>
                </c:manualLayout>
              </c:layout>
              <c:showSerName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SerName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'Arbvekst og flytting'!$O$8</c:f>
              <c:numCache>
                <c:formatCode>#,##0.0</c:formatCode>
                <c:ptCount val="1"/>
                <c:pt idx="0">
                  <c:v>-7.3264288454161868</c:v>
                </c:pt>
              </c:numCache>
            </c:numRef>
          </c:xVal>
          <c:yVal>
            <c:numRef>
              <c:f>'Arbvekst og flytting'!$P$8</c:f>
              <c:numCache>
                <c:formatCode>0.0</c:formatCode>
                <c:ptCount val="1"/>
                <c:pt idx="0">
                  <c:v>9.4260634706279536</c:v>
                </c:pt>
              </c:numCache>
            </c:numRef>
          </c:yVal>
        </c:ser>
        <c:ser>
          <c:idx val="6"/>
          <c:order val="3"/>
          <c:tx>
            <c:strRef>
              <c:f>'Arbvekst og flytting'!$N$7</c:f>
              <c:strCache>
                <c:ptCount val="1"/>
                <c:pt idx="0">
                  <c:v>Nord-Odal</c:v>
                </c:pt>
              </c:strCache>
            </c:strRef>
          </c:tx>
          <c:spPr>
            <a:ln w="25400" cap="rnd">
              <a:noFill/>
              <a:round/>
            </a:ln>
            <a:effectLst/>
          </c:spPr>
          <c:marker>
            <c:symbol val="circle"/>
            <c:size val="9"/>
            <c:spPr>
              <a:solidFill>
                <a:schemeClr val="accent3">
                  <a:lumMod val="75000"/>
                </a:schemeClr>
              </a:solidFill>
              <a:ln w="9525">
                <a:solidFill>
                  <a:schemeClr val="tx1"/>
                </a:solidFill>
              </a:ln>
              <a:effectLst/>
            </c:spPr>
          </c:marker>
          <c:dLbls>
            <c:dLbl>
              <c:idx val="0"/>
              <c:layout>
                <c:manualLayout>
                  <c:x val="-7.6546495723572541E-2"/>
                  <c:y val="-3.6588643657793324E-2"/>
                </c:manualLayout>
              </c:layout>
              <c:showSerName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SerName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'Arbvekst og flytting'!$O$7</c:f>
              <c:numCache>
                <c:formatCode>#,##0.0</c:formatCode>
                <c:ptCount val="1"/>
                <c:pt idx="0">
                  <c:v>8.5535465924895746</c:v>
                </c:pt>
              </c:numCache>
            </c:numRef>
          </c:xVal>
          <c:yVal>
            <c:numRef>
              <c:f>'Arbvekst og flytting'!$P$7</c:f>
              <c:numCache>
                <c:formatCode>0.0</c:formatCode>
                <c:ptCount val="1"/>
                <c:pt idx="0">
                  <c:v>6.5332548557975283</c:v>
                </c:pt>
              </c:numCache>
            </c:numRef>
          </c:yVal>
        </c:ser>
        <c:ser>
          <c:idx val="10"/>
          <c:order val="4"/>
          <c:tx>
            <c:strRef>
              <c:f>'Arbvekst og flytting'!$R$12</c:f>
              <c:strCache>
                <c:ptCount val="1"/>
                <c:pt idx="0">
                  <c:v>Våler</c:v>
                </c:pt>
              </c:strCache>
            </c:strRef>
          </c:tx>
          <c:spPr>
            <a:ln w="25400" cap="rnd">
              <a:noFill/>
              <a:round/>
            </a:ln>
            <a:effectLst/>
          </c:spPr>
          <c:marker>
            <c:symbol val="circle"/>
            <c:size val="9"/>
            <c:spPr>
              <a:solidFill>
                <a:schemeClr val="accent3">
                  <a:lumMod val="75000"/>
                </a:schemeClr>
              </a:solidFill>
              <a:ln w="9525">
                <a:solidFill>
                  <a:schemeClr val="tx1"/>
                </a:solidFill>
              </a:ln>
              <a:effectLst/>
            </c:spPr>
          </c:marker>
          <c:dLbls>
            <c:dLbl>
              <c:idx val="0"/>
              <c:layout>
                <c:manualLayout>
                  <c:x val="-8.9007553166944864E-2"/>
                  <c:y val="-1.9370458407067061E-2"/>
                </c:manualLayout>
              </c:layout>
              <c:showSerName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SerName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'Arbvekst og flytting'!$O$12</c:f>
              <c:numCache>
                <c:formatCode>#,##0.0</c:formatCode>
                <c:ptCount val="1"/>
                <c:pt idx="0">
                  <c:v>-11.782296650717704</c:v>
                </c:pt>
              </c:numCache>
            </c:numRef>
          </c:xVal>
          <c:yVal>
            <c:numRef>
              <c:f>'Arbvekst og flytting'!$P$12</c:f>
              <c:numCache>
                <c:formatCode>0.0</c:formatCode>
                <c:ptCount val="1"/>
                <c:pt idx="0">
                  <c:v>2.2354694485842028</c:v>
                </c:pt>
              </c:numCache>
            </c:numRef>
          </c:yVal>
        </c:ser>
        <c:ser>
          <c:idx val="8"/>
          <c:order val="5"/>
          <c:tx>
            <c:strRef>
              <c:f>'Arbvekst og flytting'!$N$10</c:f>
              <c:strCache>
                <c:ptCount val="1"/>
                <c:pt idx="0">
                  <c:v>Grue</c:v>
                </c:pt>
              </c:strCache>
            </c:strRef>
          </c:tx>
          <c:spPr>
            <a:ln w="25400" cap="rnd">
              <a:noFill/>
              <a:round/>
            </a:ln>
            <a:effectLst/>
          </c:spPr>
          <c:marker>
            <c:symbol val="circle"/>
            <c:size val="9"/>
            <c:spPr>
              <a:solidFill>
                <a:schemeClr val="accent3">
                  <a:lumMod val="75000"/>
                </a:schemeClr>
              </a:solidFill>
              <a:ln w="9525">
                <a:solidFill>
                  <a:schemeClr val="tx1"/>
                </a:solidFill>
              </a:ln>
              <a:effectLst/>
            </c:spPr>
          </c:marker>
          <c:dLbls>
            <c:dLbl>
              <c:idx val="0"/>
              <c:layout>
                <c:manualLayout>
                  <c:x val="-0.12246268901489807"/>
                  <c:y val="1.073467420515874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SerName val="1"/>
              <c:extLst>
                <c:ext xmlns:c15="http://schemas.microsoft.com/office/drawing/2012/chart" uri="{CE6537A1-D6FC-4f65-9D91-7224C49458BB}">
                  <c15:layout>
                    <c:manualLayout>
                      <c:w val="0.1097607457561675"/>
                      <c:h val="3.0397139238758936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SerName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'Arbvekst og flytting'!$O$10</c:f>
              <c:numCache>
                <c:formatCode>#,##0.0</c:formatCode>
                <c:ptCount val="1"/>
                <c:pt idx="0">
                  <c:v>-5.2421367948077879</c:v>
                </c:pt>
              </c:numCache>
            </c:numRef>
          </c:xVal>
          <c:yVal>
            <c:numRef>
              <c:f>'Arbvekst og flytting'!$P$10</c:f>
              <c:numCache>
                <c:formatCode>0.0</c:formatCode>
                <c:ptCount val="1"/>
                <c:pt idx="0">
                  <c:v>-0.39811798769453516</c:v>
                </c:pt>
              </c:numCache>
            </c:numRef>
          </c:yVal>
        </c:ser>
        <c:ser>
          <c:idx val="9"/>
          <c:order val="6"/>
          <c:tx>
            <c:strRef>
              <c:f>'Arbvekst og flytting'!$N$9</c:f>
              <c:strCache>
                <c:ptCount val="1"/>
                <c:pt idx="0">
                  <c:v>Eidskog</c:v>
                </c:pt>
              </c:strCache>
            </c:strRef>
          </c:tx>
          <c:spPr>
            <a:ln w="25400" cap="rnd">
              <a:noFill/>
              <a:round/>
            </a:ln>
            <a:effectLst/>
          </c:spPr>
          <c:marker>
            <c:symbol val="circle"/>
            <c:size val="9"/>
            <c:spPr>
              <a:solidFill>
                <a:schemeClr val="accent3">
                  <a:lumMod val="75000"/>
                </a:schemeClr>
              </a:solidFill>
              <a:ln w="9525">
                <a:solidFill>
                  <a:schemeClr val="tx1"/>
                </a:solidFill>
              </a:ln>
              <a:effectLst/>
            </c:spPr>
          </c:marker>
          <c:dLbls>
            <c:dLbl>
              <c:idx val="0"/>
              <c:layout>
                <c:manualLayout>
                  <c:x val="-8.9266305833316767E-2"/>
                  <c:y val="-2.4623021730502178E-2"/>
                </c:manualLayout>
              </c:layout>
              <c:showSerName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SerName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'Arbvekst og flytting'!$O$9</c:f>
              <c:numCache>
                <c:formatCode>#,##0.0</c:formatCode>
                <c:ptCount val="1"/>
                <c:pt idx="0">
                  <c:v>5.3833605220228398</c:v>
                </c:pt>
              </c:numCache>
            </c:numRef>
          </c:xVal>
          <c:yVal>
            <c:numRef>
              <c:f>'Arbvekst og flytting'!$P$9</c:f>
              <c:numCache>
                <c:formatCode>0.0</c:formatCode>
                <c:ptCount val="1"/>
                <c:pt idx="0">
                  <c:v>5.2500389468764581</c:v>
                </c:pt>
              </c:numCache>
            </c:numRef>
          </c:yVal>
        </c:ser>
        <c:ser>
          <c:idx val="4"/>
          <c:order val="7"/>
          <c:tx>
            <c:strRef>
              <c:f>'Arbvekst og flytting'!$N$2</c:f>
              <c:strCache>
                <c:ptCount val="1"/>
                <c:pt idx="0">
                  <c:v>Kongsvinger</c:v>
                </c:pt>
              </c:strCache>
            </c:strRef>
          </c:tx>
          <c:spPr>
            <a:ln w="25400" cap="rnd">
              <a:noFill/>
              <a:round/>
            </a:ln>
            <a:effectLst/>
          </c:spPr>
          <c:marker>
            <c:symbol val="circle"/>
            <c:size val="9"/>
            <c:spPr>
              <a:solidFill>
                <a:schemeClr val="accent3">
                  <a:lumMod val="75000"/>
                </a:schemeClr>
              </a:solidFill>
              <a:ln w="9525">
                <a:solidFill>
                  <a:schemeClr val="tx1"/>
                </a:solidFill>
              </a:ln>
              <a:effectLst/>
            </c:spPr>
          </c:marker>
          <c:dLbls>
            <c:dLbl>
              <c:idx val="0"/>
              <c:layout>
                <c:manualLayout>
                  <c:x val="-0.1292807376721736"/>
                  <c:y val="-1.8423119277623365E-3"/>
                </c:manualLayout>
              </c:layout>
              <c:showSerName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SerName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'Arbvekst og flytting'!$O$2</c:f>
              <c:numCache>
                <c:formatCode>#,##0.0</c:formatCode>
                <c:ptCount val="1"/>
                <c:pt idx="0">
                  <c:v>0</c:v>
                </c:pt>
              </c:numCache>
            </c:numRef>
          </c:xVal>
          <c:yVal>
            <c:numRef>
              <c:f>'Arbvekst og flytting'!$P$2</c:f>
              <c:numCache>
                <c:formatCode>0.0</c:formatCode>
                <c:ptCount val="1"/>
                <c:pt idx="0">
                  <c:v>5.2410780989598322</c:v>
                </c:pt>
              </c:numCache>
            </c:numRef>
          </c:yVal>
        </c:ser>
        <c:ser>
          <c:idx val="3"/>
          <c:order val="8"/>
          <c:tx>
            <c:strRef>
              <c:f>'Arbvekst og flytting'!$N$11</c:f>
              <c:strCache>
                <c:ptCount val="1"/>
                <c:pt idx="0">
                  <c:v>Åsnes</c:v>
                </c:pt>
              </c:strCache>
            </c:strRef>
          </c:tx>
          <c:spPr>
            <a:ln w="25400" cap="rnd">
              <a:noFill/>
              <a:round/>
            </a:ln>
            <a:effectLst/>
          </c:spPr>
          <c:marker>
            <c:symbol val="circle"/>
            <c:size val="9"/>
            <c:spPr>
              <a:solidFill>
                <a:schemeClr val="accent3">
                  <a:lumMod val="75000"/>
                </a:schemeClr>
              </a:solidFill>
              <a:ln w="9525">
                <a:solidFill>
                  <a:schemeClr val="tx1"/>
                </a:solidFill>
              </a:ln>
              <a:effectLst/>
            </c:spPr>
          </c:marker>
          <c:dLbls>
            <c:dLbl>
              <c:idx val="0"/>
              <c:layout>
                <c:manualLayout>
                  <c:x val="-7.0052539404554292E-3"/>
                  <c:y val="0"/>
                </c:manualLayout>
              </c:layout>
              <c:showSerName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SerName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'Arbvekst og flytting'!$O$11</c:f>
              <c:numCache>
                <c:formatCode>#,##0.0</c:formatCode>
                <c:ptCount val="1"/>
                <c:pt idx="0">
                  <c:v>-4.3576500968366689</c:v>
                </c:pt>
              </c:numCache>
            </c:numRef>
          </c:xVal>
          <c:yVal>
            <c:numRef>
              <c:f>'Arbvekst og flytting'!$P$11</c:f>
              <c:numCache>
                <c:formatCode>0.0</c:formatCode>
                <c:ptCount val="1"/>
                <c:pt idx="0">
                  <c:v>2.9028656494231466</c:v>
                </c:pt>
              </c:numCache>
            </c:numRef>
          </c:yVal>
        </c:ser>
        <c:axId val="254436096"/>
        <c:axId val="254438016"/>
      </c:scatterChart>
      <c:valAx>
        <c:axId val="254436096"/>
        <c:scaling>
          <c:orientation val="minMax"/>
        </c:scaling>
        <c:axPos val="b"/>
        <c:majorGridlines>
          <c:spPr>
            <a:ln w="9525" cap="flat" cmpd="sng" algn="ctr">
              <a:no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nb-NO" sz="1100"/>
                  <a:t>Arbeidsplassvekst 2000-2013</a:t>
                </a:r>
              </a:p>
            </c:rich>
          </c:tx>
          <c:layout>
            <c:manualLayout>
              <c:xMode val="edge"/>
              <c:yMode val="edge"/>
              <c:x val="0.28317101252469434"/>
              <c:y val="0.96201237879058521"/>
            </c:manualLayout>
          </c:layout>
          <c:spPr>
            <a:noFill/>
            <a:ln>
              <a:noFill/>
            </a:ln>
            <a:effectLst/>
          </c:spPr>
        </c:title>
        <c:numFmt formatCode="#,##0" sourceLinked="0"/>
        <c:maj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4438016"/>
        <c:crosses val="autoZero"/>
        <c:crossBetween val="midCat"/>
      </c:valAx>
      <c:valAx>
        <c:axId val="254438016"/>
        <c:scaling>
          <c:orientation val="minMax"/>
        </c:scaling>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nb-NO"/>
                  <a:t>Nettoflytting 2000-2013</a:t>
                </a:r>
              </a:p>
            </c:rich>
          </c:tx>
          <c:spPr>
            <a:noFill/>
            <a:ln>
              <a:noFill/>
            </a:ln>
            <a:effectLst/>
          </c:spPr>
        </c:title>
        <c:numFmt formatCode="0" sourceLinked="0"/>
        <c:maj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4436096"/>
        <c:crosses val="autoZero"/>
        <c:crossBetween val="midCat"/>
      </c:valAx>
      <c:spPr>
        <a:noFill/>
        <a:ln>
          <a:noFill/>
        </a:ln>
        <a:effectLst/>
      </c:spPr>
    </c:plotArea>
    <c:legend>
      <c:legendPos val="t"/>
      <c:legendEntry>
        <c:idx val="3"/>
        <c:delete val="1"/>
      </c:legendEntry>
      <c:legendEntry>
        <c:idx val="6"/>
        <c:delete val="1"/>
      </c:legendEntry>
      <c:layout>
        <c:manualLayout>
          <c:xMode val="edge"/>
          <c:yMode val="edge"/>
          <c:x val="0"/>
          <c:y val="7.3868875572241453E-3"/>
          <c:w val="1"/>
          <c:h val="0.1141239228909757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90325125544291"/>
          <c:y val="0.11387544074392097"/>
          <c:w val="0.58460364419765432"/>
          <c:h val="0.85334407689208613"/>
        </c:manualLayout>
      </c:layout>
      <c:barChart>
        <c:barDir val="bar"/>
        <c:grouping val="stacked"/>
        <c:ser>
          <c:idx val="0"/>
          <c:order val="0"/>
          <c:tx>
            <c:strRef>
              <c:f>'Regioner fire treårsperioder'!$E$1</c:f>
              <c:strCache>
                <c:ptCount val="1"/>
                <c:pt idx="0">
                  <c:v>Intern arbeidsmarkedsintegrasjon</c:v>
                </c:pt>
              </c:strCache>
            </c:strRef>
          </c:tx>
          <c:spPr>
            <a:solidFill>
              <a:srgbClr val="C00000"/>
            </a:solidFill>
            <a:ln>
              <a:noFill/>
            </a:ln>
            <a:effectLst/>
          </c:spPr>
          <c:cat>
            <c:strRef>
              <c:f>'Regioner fire treårsperioder'!$D$2:$D$20</c:f>
              <c:strCache>
                <c:ptCount val="19"/>
                <c:pt idx="0">
                  <c:v>Fjellregionen - 66</c:v>
                </c:pt>
                <c:pt idx="1">
                  <c:v>Nord-Gudbrandsdal - 64</c:v>
                </c:pt>
                <c:pt idx="2">
                  <c:v>Valdres - 61</c:v>
                </c:pt>
                <c:pt idx="3">
                  <c:v>Sør Østerdal - 49</c:v>
                </c:pt>
                <c:pt idx="4">
                  <c:v>Midt-Gudbrandsdal - 43</c:v>
                </c:pt>
                <c:pt idx="5">
                  <c:v>Halden - 36</c:v>
                </c:pt>
                <c:pt idx="6">
                  <c:v>Glåmdal - 31</c:v>
                </c:pt>
                <c:pt idx="7">
                  <c:v>Gjøvikregionen - 28</c:v>
                </c:pt>
                <c:pt idx="8">
                  <c:v>Lillehammerregionen - 26</c:v>
                </c:pt>
                <c:pt idx="9">
                  <c:v>Nedre Glomma - 21</c:v>
                </c:pt>
                <c:pt idx="10">
                  <c:v>Hadeland - 20</c:v>
                </c:pt>
                <c:pt idx="11">
                  <c:v>Hamarregionen - 15</c:v>
                </c:pt>
                <c:pt idx="12">
                  <c:v>Indre Østfold - 13</c:v>
                </c:pt>
                <c:pt idx="13">
                  <c:v>Mosseregionen - 9</c:v>
                </c:pt>
                <c:pt idx="14">
                  <c:v>Oslo (Region) - 8</c:v>
                </c:pt>
                <c:pt idx="15">
                  <c:v>Øvre Romerike - 6</c:v>
                </c:pt>
                <c:pt idx="16">
                  <c:v>Follo - 4</c:v>
                </c:pt>
                <c:pt idx="17">
                  <c:v>Akershus Vest - 3</c:v>
                </c:pt>
                <c:pt idx="18">
                  <c:v>Nedre Romerike - 2</c:v>
                </c:pt>
              </c:strCache>
            </c:strRef>
          </c:cat>
          <c:val>
            <c:numRef>
              <c:f>'Regioner fire treårsperioder'!$E$2:$E$20</c:f>
              <c:numCache>
                <c:formatCode>0.0</c:formatCode>
                <c:ptCount val="19"/>
                <c:pt idx="0">
                  <c:v>-8.4302713584026662E-2</c:v>
                </c:pt>
                <c:pt idx="1">
                  <c:v>8.7633093057249062E-2</c:v>
                </c:pt>
                <c:pt idx="2">
                  <c:v>0.30350602964718376</c:v>
                </c:pt>
                <c:pt idx="3">
                  <c:v>-0.68356620264324408</c:v>
                </c:pt>
                <c:pt idx="4">
                  <c:v>0.43108461028178935</c:v>
                </c:pt>
                <c:pt idx="5">
                  <c:v>0</c:v>
                </c:pt>
                <c:pt idx="6">
                  <c:v>0.59971485855733397</c:v>
                </c:pt>
                <c:pt idx="7">
                  <c:v>1.0717934432394056</c:v>
                </c:pt>
                <c:pt idx="8">
                  <c:v>0.64752089606079444</c:v>
                </c:pt>
                <c:pt idx="9">
                  <c:v>0.7531138022599666</c:v>
                </c:pt>
                <c:pt idx="10">
                  <c:v>-5.9673386954262983E-2</c:v>
                </c:pt>
                <c:pt idx="11">
                  <c:v>1.5868561399875094</c:v>
                </c:pt>
                <c:pt idx="12">
                  <c:v>0.53356342414839153</c:v>
                </c:pt>
                <c:pt idx="13">
                  <c:v>1.3816924863340261</c:v>
                </c:pt>
                <c:pt idx="14">
                  <c:v>0</c:v>
                </c:pt>
                <c:pt idx="15">
                  <c:v>0.54286336930534262</c:v>
                </c:pt>
                <c:pt idx="16">
                  <c:v>0.24022879056630597</c:v>
                </c:pt>
                <c:pt idx="17">
                  <c:v>-0.23676615302563228</c:v>
                </c:pt>
                <c:pt idx="18">
                  <c:v>0.80614119625818814</c:v>
                </c:pt>
              </c:numCache>
            </c:numRef>
          </c:val>
        </c:ser>
        <c:ser>
          <c:idx val="1"/>
          <c:order val="1"/>
          <c:tx>
            <c:strRef>
              <c:f>'Regioner fire treårsperioder'!$F$1</c:f>
              <c:strCache>
                <c:ptCount val="1"/>
                <c:pt idx="0">
                  <c:v>Ekstern arbeidsmarkedsintegrasjon</c:v>
                </c:pt>
              </c:strCache>
            </c:strRef>
          </c:tx>
          <c:spPr>
            <a:solidFill>
              <a:srgbClr val="002060"/>
            </a:solidFill>
            <a:ln>
              <a:noFill/>
            </a:ln>
            <a:effectLst/>
          </c:spPr>
          <c:cat>
            <c:strRef>
              <c:f>'Regioner fire treårsperioder'!$D$2:$D$20</c:f>
              <c:strCache>
                <c:ptCount val="19"/>
                <c:pt idx="0">
                  <c:v>Fjellregionen - 66</c:v>
                </c:pt>
                <c:pt idx="1">
                  <c:v>Nord-Gudbrandsdal - 64</c:v>
                </c:pt>
                <c:pt idx="2">
                  <c:v>Valdres - 61</c:v>
                </c:pt>
                <c:pt idx="3">
                  <c:v>Sør Østerdal - 49</c:v>
                </c:pt>
                <c:pt idx="4">
                  <c:v>Midt-Gudbrandsdal - 43</c:v>
                </c:pt>
                <c:pt idx="5">
                  <c:v>Halden - 36</c:v>
                </c:pt>
                <c:pt idx="6">
                  <c:v>Glåmdal - 31</c:v>
                </c:pt>
                <c:pt idx="7">
                  <c:v>Gjøvikregionen - 28</c:v>
                </c:pt>
                <c:pt idx="8">
                  <c:v>Lillehammerregionen - 26</c:v>
                </c:pt>
                <c:pt idx="9">
                  <c:v>Nedre Glomma - 21</c:v>
                </c:pt>
                <c:pt idx="10">
                  <c:v>Hadeland - 20</c:v>
                </c:pt>
                <c:pt idx="11">
                  <c:v>Hamarregionen - 15</c:v>
                </c:pt>
                <c:pt idx="12">
                  <c:v>Indre Østfold - 13</c:v>
                </c:pt>
                <c:pt idx="13">
                  <c:v>Mosseregionen - 9</c:v>
                </c:pt>
                <c:pt idx="14">
                  <c:v>Oslo (Region) - 8</c:v>
                </c:pt>
                <c:pt idx="15">
                  <c:v>Øvre Romerike - 6</c:v>
                </c:pt>
                <c:pt idx="16">
                  <c:v>Follo - 4</c:v>
                </c:pt>
                <c:pt idx="17">
                  <c:v>Akershus Vest - 3</c:v>
                </c:pt>
                <c:pt idx="18">
                  <c:v>Nedre Romerike - 2</c:v>
                </c:pt>
              </c:strCache>
            </c:strRef>
          </c:cat>
          <c:val>
            <c:numRef>
              <c:f>'Regioner fire treårsperioder'!$F$2:$F$20</c:f>
              <c:numCache>
                <c:formatCode>0.0</c:formatCode>
                <c:ptCount val="19"/>
                <c:pt idx="0">
                  <c:v>-0.78751360903206813</c:v>
                </c:pt>
                <c:pt idx="1">
                  <c:v>-1.0059498161061908</c:v>
                </c:pt>
                <c:pt idx="2">
                  <c:v>-1.1213463229853113</c:v>
                </c:pt>
                <c:pt idx="3">
                  <c:v>0.15191721263863125</c:v>
                </c:pt>
                <c:pt idx="4">
                  <c:v>-0.13830909950787407</c:v>
                </c:pt>
                <c:pt idx="5">
                  <c:v>0.58532967795211199</c:v>
                </c:pt>
                <c:pt idx="6">
                  <c:v>-0.25480784684582025</c:v>
                </c:pt>
                <c:pt idx="7">
                  <c:v>-0.63709020036447106</c:v>
                </c:pt>
                <c:pt idx="8">
                  <c:v>0.32804768479377011</c:v>
                </c:pt>
                <c:pt idx="9">
                  <c:v>-0.16311852338240374</c:v>
                </c:pt>
                <c:pt idx="10">
                  <c:v>1.6936664663918601</c:v>
                </c:pt>
                <c:pt idx="11">
                  <c:v>-0.12225132873174682</c:v>
                </c:pt>
                <c:pt idx="12">
                  <c:v>1.2107254215086176</c:v>
                </c:pt>
                <c:pt idx="13">
                  <c:v>1.8044491299841141</c:v>
                </c:pt>
                <c:pt idx="14">
                  <c:v>1.7681004162835721</c:v>
                </c:pt>
                <c:pt idx="15">
                  <c:v>3.0568288071004548</c:v>
                </c:pt>
                <c:pt idx="16">
                  <c:v>3.8208955817827781</c:v>
                </c:pt>
                <c:pt idx="17">
                  <c:v>4.8621596650431602</c:v>
                </c:pt>
                <c:pt idx="18">
                  <c:v>4.0961585724407357</c:v>
                </c:pt>
              </c:numCache>
            </c:numRef>
          </c:val>
        </c:ser>
        <c:ser>
          <c:idx val="2"/>
          <c:order val="2"/>
          <c:tx>
            <c:strRef>
              <c:f>'Regioner fire treårsperioder'!$G$1</c:f>
              <c:strCache>
                <c:ptCount val="1"/>
                <c:pt idx="0">
                  <c:v>Nabovekst</c:v>
                </c:pt>
              </c:strCache>
            </c:strRef>
          </c:tx>
          <c:spPr>
            <a:solidFill>
              <a:srgbClr val="FFC000"/>
            </a:solidFill>
            <a:ln>
              <a:noFill/>
            </a:ln>
            <a:effectLst/>
          </c:spPr>
          <c:cat>
            <c:strRef>
              <c:f>'Regioner fire treårsperioder'!$D$2:$D$20</c:f>
              <c:strCache>
                <c:ptCount val="19"/>
                <c:pt idx="0">
                  <c:v>Fjellregionen - 66</c:v>
                </c:pt>
                <c:pt idx="1">
                  <c:v>Nord-Gudbrandsdal - 64</c:v>
                </c:pt>
                <c:pt idx="2">
                  <c:v>Valdres - 61</c:v>
                </c:pt>
                <c:pt idx="3">
                  <c:v>Sør Østerdal - 49</c:v>
                </c:pt>
                <c:pt idx="4">
                  <c:v>Midt-Gudbrandsdal - 43</c:v>
                </c:pt>
                <c:pt idx="5">
                  <c:v>Halden - 36</c:v>
                </c:pt>
                <c:pt idx="6">
                  <c:v>Glåmdal - 31</c:v>
                </c:pt>
                <c:pt idx="7">
                  <c:v>Gjøvikregionen - 28</c:v>
                </c:pt>
                <c:pt idx="8">
                  <c:v>Lillehammerregionen - 26</c:v>
                </c:pt>
                <c:pt idx="9">
                  <c:v>Nedre Glomma - 21</c:v>
                </c:pt>
                <c:pt idx="10">
                  <c:v>Hadeland - 20</c:v>
                </c:pt>
                <c:pt idx="11">
                  <c:v>Hamarregionen - 15</c:v>
                </c:pt>
                <c:pt idx="12">
                  <c:v>Indre Østfold - 13</c:v>
                </c:pt>
                <c:pt idx="13">
                  <c:v>Mosseregionen - 9</c:v>
                </c:pt>
                <c:pt idx="14">
                  <c:v>Oslo (Region) - 8</c:v>
                </c:pt>
                <c:pt idx="15">
                  <c:v>Øvre Romerike - 6</c:v>
                </c:pt>
                <c:pt idx="16">
                  <c:v>Follo - 4</c:v>
                </c:pt>
                <c:pt idx="17">
                  <c:v>Akershus Vest - 3</c:v>
                </c:pt>
                <c:pt idx="18">
                  <c:v>Nedre Romerike - 2</c:v>
                </c:pt>
              </c:strCache>
            </c:strRef>
          </c:cat>
          <c:val>
            <c:numRef>
              <c:f>'Regioner fire treårsperioder'!$G$2:$G$20</c:f>
              <c:numCache>
                <c:formatCode>0.0</c:formatCode>
                <c:ptCount val="19"/>
                <c:pt idx="0">
                  <c:v>-0.23641554175167243</c:v>
                </c:pt>
                <c:pt idx="1">
                  <c:v>-0.18434894372347424</c:v>
                </c:pt>
                <c:pt idx="2">
                  <c:v>-0.14747634637579662</c:v>
                </c:pt>
                <c:pt idx="3">
                  <c:v>-0.25000532253083174</c:v>
                </c:pt>
                <c:pt idx="4">
                  <c:v>-0.30565858404056412</c:v>
                </c:pt>
                <c:pt idx="5">
                  <c:v>-0.30304037074924239</c:v>
                </c:pt>
                <c:pt idx="6">
                  <c:v>-8.2042274813125329E-2</c:v>
                </c:pt>
                <c:pt idx="7">
                  <c:v>-0.14649363170987473</c:v>
                </c:pt>
                <c:pt idx="8">
                  <c:v>-0.21969802611051448</c:v>
                </c:pt>
                <c:pt idx="9">
                  <c:v>-0.1928169108509509</c:v>
                </c:pt>
                <c:pt idx="10">
                  <c:v>-0.35834811866882182</c:v>
                </c:pt>
                <c:pt idx="11">
                  <c:v>-0.20197698448973644</c:v>
                </c:pt>
                <c:pt idx="12">
                  <c:v>-8.4954396005561858E-2</c:v>
                </c:pt>
                <c:pt idx="13">
                  <c:v>-0.12880865267606359</c:v>
                </c:pt>
                <c:pt idx="14">
                  <c:v>0.19725013552051454</c:v>
                </c:pt>
                <c:pt idx="15">
                  <c:v>6.8175529626004705E-2</c:v>
                </c:pt>
                <c:pt idx="16">
                  <c:v>-0.4101831226177487</c:v>
                </c:pt>
                <c:pt idx="17">
                  <c:v>-0.36580523786590391</c:v>
                </c:pt>
                <c:pt idx="18">
                  <c:v>-0.41876634682898234</c:v>
                </c:pt>
              </c:numCache>
            </c:numRef>
          </c:val>
        </c:ser>
        <c:ser>
          <c:idx val="3"/>
          <c:order val="3"/>
          <c:tx>
            <c:strRef>
              <c:f>'Regioner fire treårsperioder'!$H$1</c:f>
              <c:strCache>
                <c:ptCount val="1"/>
                <c:pt idx="0">
                  <c:v>Befolkningsstørrelse</c:v>
                </c:pt>
              </c:strCache>
            </c:strRef>
          </c:tx>
          <c:spPr>
            <a:solidFill>
              <a:schemeClr val="accent6"/>
            </a:solidFill>
            <a:ln>
              <a:noFill/>
            </a:ln>
            <a:effectLst/>
          </c:spPr>
          <c:cat>
            <c:strRef>
              <c:f>'Regioner fire treårsperioder'!$D$2:$D$20</c:f>
              <c:strCache>
                <c:ptCount val="19"/>
                <c:pt idx="0">
                  <c:v>Fjellregionen - 66</c:v>
                </c:pt>
                <c:pt idx="1">
                  <c:v>Nord-Gudbrandsdal - 64</c:v>
                </c:pt>
                <c:pt idx="2">
                  <c:v>Valdres - 61</c:v>
                </c:pt>
                <c:pt idx="3">
                  <c:v>Sør Østerdal - 49</c:v>
                </c:pt>
                <c:pt idx="4">
                  <c:v>Midt-Gudbrandsdal - 43</c:v>
                </c:pt>
                <c:pt idx="5">
                  <c:v>Halden - 36</c:v>
                </c:pt>
                <c:pt idx="6">
                  <c:v>Glåmdal - 31</c:v>
                </c:pt>
                <c:pt idx="7">
                  <c:v>Gjøvikregionen - 28</c:v>
                </c:pt>
                <c:pt idx="8">
                  <c:v>Lillehammerregionen - 26</c:v>
                </c:pt>
                <c:pt idx="9">
                  <c:v>Nedre Glomma - 21</c:v>
                </c:pt>
                <c:pt idx="10">
                  <c:v>Hadeland - 20</c:v>
                </c:pt>
                <c:pt idx="11">
                  <c:v>Hamarregionen - 15</c:v>
                </c:pt>
                <c:pt idx="12">
                  <c:v>Indre Østfold - 13</c:v>
                </c:pt>
                <c:pt idx="13">
                  <c:v>Mosseregionen - 9</c:v>
                </c:pt>
                <c:pt idx="14">
                  <c:v>Oslo (Region) - 8</c:v>
                </c:pt>
                <c:pt idx="15">
                  <c:v>Øvre Romerike - 6</c:v>
                </c:pt>
                <c:pt idx="16">
                  <c:v>Follo - 4</c:v>
                </c:pt>
                <c:pt idx="17">
                  <c:v>Akershus Vest - 3</c:v>
                </c:pt>
                <c:pt idx="18">
                  <c:v>Nedre Romerike - 2</c:v>
                </c:pt>
              </c:strCache>
            </c:strRef>
          </c:cat>
          <c:val>
            <c:numRef>
              <c:f>'Regioner fire treårsperioder'!$H$2:$H$20</c:f>
              <c:numCache>
                <c:formatCode>0.0</c:formatCode>
                <c:ptCount val="19"/>
                <c:pt idx="0">
                  <c:v>-0.39080276954489501</c:v>
                </c:pt>
                <c:pt idx="1">
                  <c:v>-0.27441990554856527</c:v>
                </c:pt>
                <c:pt idx="2">
                  <c:v>-0.31475441007429888</c:v>
                </c:pt>
                <c:pt idx="3">
                  <c:v>2.7166891055863812E-3</c:v>
                </c:pt>
                <c:pt idx="4">
                  <c:v>-0.45007957628995982</c:v>
                </c:pt>
                <c:pt idx="5">
                  <c:v>-0.10106984509347244</c:v>
                </c:pt>
                <c:pt idx="6">
                  <c:v>0.21328359402309591</c:v>
                </c:pt>
                <c:pt idx="7">
                  <c:v>0.33080500481472153</c:v>
                </c:pt>
                <c:pt idx="8">
                  <c:v>2.988688553145798E-2</c:v>
                </c:pt>
                <c:pt idx="9">
                  <c:v>0.63045659952090283</c:v>
                </c:pt>
                <c:pt idx="10">
                  <c:v>-0.10108163159601727</c:v>
                </c:pt>
                <c:pt idx="11">
                  <c:v>0.44415404923047552</c:v>
                </c:pt>
                <c:pt idx="12">
                  <c:v>0.23278577769496978</c:v>
                </c:pt>
                <c:pt idx="13">
                  <c:v>0.21369024441020446</c:v>
                </c:pt>
                <c:pt idx="14">
                  <c:v>1.3491997962722517</c:v>
                </c:pt>
                <c:pt idx="15">
                  <c:v>0.42004345501457668</c:v>
                </c:pt>
                <c:pt idx="16">
                  <c:v>0.60669342866042453</c:v>
                </c:pt>
                <c:pt idx="17">
                  <c:v>0.74465811629628775</c:v>
                </c:pt>
                <c:pt idx="18">
                  <c:v>0.70987336270266943</c:v>
                </c:pt>
              </c:numCache>
            </c:numRef>
          </c:val>
        </c:ser>
        <c:gapWidth val="30"/>
        <c:overlap val="100"/>
        <c:axId val="255126528"/>
        <c:axId val="255021824"/>
      </c:barChart>
      <c:catAx>
        <c:axId val="255126528"/>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5021824"/>
        <c:crosses val="autoZero"/>
        <c:auto val="1"/>
        <c:lblAlgn val="ctr"/>
        <c:lblOffset val="100"/>
      </c:catAx>
      <c:valAx>
        <c:axId val="255021824"/>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5126528"/>
        <c:crosses val="autoZero"/>
        <c:crossBetween val="between"/>
      </c:valAx>
      <c:spPr>
        <a:noFill/>
        <a:ln>
          <a:noFill/>
        </a:ln>
        <a:effectLst/>
      </c:spPr>
    </c:plotArea>
    <c:legend>
      <c:legendPos val="t"/>
      <c:layout>
        <c:manualLayout>
          <c:xMode val="edge"/>
          <c:yMode val="edge"/>
          <c:x val="0"/>
          <c:y val="6.0518800855507602E-4"/>
          <c:w val="1"/>
          <c:h val="0.10352875022251209"/>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917889893392968"/>
          <c:y val="5.629223085889265E-2"/>
          <c:w val="0.58525517643627878"/>
          <c:h val="0.89449036767523937"/>
        </c:manualLayout>
      </c:layout>
      <c:barChart>
        <c:barDir val="bar"/>
        <c:grouping val="stacked"/>
        <c:ser>
          <c:idx val="0"/>
          <c:order val="0"/>
          <c:tx>
            <c:strRef>
              <c:f>'Kommuner fire treårsperioder'!$F$1</c:f>
              <c:strCache>
                <c:ptCount val="1"/>
                <c:pt idx="0">
                  <c:v>Arb.integrasjon</c:v>
                </c:pt>
              </c:strCache>
            </c:strRef>
          </c:tx>
          <c:spPr>
            <a:solidFill>
              <a:srgbClr val="002060"/>
            </a:solidFill>
            <a:ln>
              <a:noFill/>
            </a:ln>
            <a:effectLst/>
          </c:spPr>
          <c:cat>
            <c:strRef>
              <c:f>'Kommuner fire treårsperioder'!$E$43:$E$64</c:f>
              <c:strCache>
                <c:ptCount val="22"/>
                <c:pt idx="0">
                  <c:v>Engerdal - 396</c:v>
                </c:pt>
                <c:pt idx="1">
                  <c:v>Folldal - 389</c:v>
                </c:pt>
                <c:pt idx="2">
                  <c:v>Rendalen - 362</c:v>
                </c:pt>
                <c:pt idx="3">
                  <c:v>Stor-Elvdal - 318</c:v>
                </c:pt>
                <c:pt idx="4">
                  <c:v>Alvdal - 311</c:v>
                </c:pt>
                <c:pt idx="5">
                  <c:v>Trysil - 309</c:v>
                </c:pt>
                <c:pt idx="6">
                  <c:v>Os - 279</c:v>
                </c:pt>
                <c:pt idx="7">
                  <c:v>Tolga - 276</c:v>
                </c:pt>
                <c:pt idx="8">
                  <c:v>Åmot - 236</c:v>
                </c:pt>
                <c:pt idx="9">
                  <c:v>Eidskog - 235</c:v>
                </c:pt>
                <c:pt idx="10">
                  <c:v>Tynset - 225</c:v>
                </c:pt>
                <c:pt idx="11">
                  <c:v>Grue - 213</c:v>
                </c:pt>
                <c:pt idx="12">
                  <c:v>Åsnes - 208</c:v>
                </c:pt>
                <c:pt idx="13">
                  <c:v>Nord-Odal - 185</c:v>
                </c:pt>
                <c:pt idx="14">
                  <c:v>Våler - 166</c:v>
                </c:pt>
                <c:pt idx="15">
                  <c:v>Elverum - 141</c:v>
                </c:pt>
                <c:pt idx="16">
                  <c:v>Kongsvinger - 125</c:v>
                </c:pt>
                <c:pt idx="17">
                  <c:v>Sør-Odal - 103</c:v>
                </c:pt>
                <c:pt idx="18">
                  <c:v>Ringsaker - 75</c:v>
                </c:pt>
                <c:pt idx="19">
                  <c:v>Løten - 70</c:v>
                </c:pt>
                <c:pt idx="20">
                  <c:v>Hamar - 55</c:v>
                </c:pt>
                <c:pt idx="21">
                  <c:v>Stange - 45</c:v>
                </c:pt>
              </c:strCache>
            </c:strRef>
          </c:cat>
          <c:val>
            <c:numRef>
              <c:f>'Kommuner fire treårsperioder'!$F$43:$F$64</c:f>
              <c:numCache>
                <c:formatCode>0.0</c:formatCode>
                <c:ptCount val="22"/>
                <c:pt idx="0">
                  <c:v>-0.78242594938319643</c:v>
                </c:pt>
                <c:pt idx="1">
                  <c:v>-1.0166629538655116</c:v>
                </c:pt>
                <c:pt idx="2">
                  <c:v>-0.64524331204764895</c:v>
                </c:pt>
                <c:pt idx="3">
                  <c:v>-0.5685961964071895</c:v>
                </c:pt>
                <c:pt idx="4">
                  <c:v>-0.25529965324914883</c:v>
                </c:pt>
                <c:pt idx="5">
                  <c:v>-1.179253689182449</c:v>
                </c:pt>
                <c:pt idx="6">
                  <c:v>0.14824778685760967</c:v>
                </c:pt>
                <c:pt idx="7">
                  <c:v>0.18502833114609335</c:v>
                </c:pt>
                <c:pt idx="8">
                  <c:v>-0.35919537958623027</c:v>
                </c:pt>
                <c:pt idx="9">
                  <c:v>-2.8091325842743362E-2</c:v>
                </c:pt>
                <c:pt idx="10">
                  <c:v>-0.44386400443698026</c:v>
                </c:pt>
                <c:pt idx="11">
                  <c:v>0.26011640882406833</c:v>
                </c:pt>
                <c:pt idx="12">
                  <c:v>-5.5529098290087217E-2</c:v>
                </c:pt>
                <c:pt idx="13">
                  <c:v>0.39081114197493061</c:v>
                </c:pt>
                <c:pt idx="14">
                  <c:v>0.67987951779407585</c:v>
                </c:pt>
                <c:pt idx="15">
                  <c:v>-0.3284949384737148</c:v>
                </c:pt>
                <c:pt idx="16">
                  <c:v>0.11909873717779618</c:v>
                </c:pt>
                <c:pt idx="17">
                  <c:v>1.2698343146544906</c:v>
                </c:pt>
                <c:pt idx="18">
                  <c:v>0.31159026679419227</c:v>
                </c:pt>
                <c:pt idx="19">
                  <c:v>1.4670123027532045</c:v>
                </c:pt>
                <c:pt idx="20">
                  <c:v>1.0746135436619091</c:v>
                </c:pt>
                <c:pt idx="21">
                  <c:v>1.3405457186676284</c:v>
                </c:pt>
              </c:numCache>
            </c:numRef>
          </c:val>
        </c:ser>
        <c:ser>
          <c:idx val="1"/>
          <c:order val="1"/>
          <c:tx>
            <c:strRef>
              <c:f>'Kommuner fire treårsperioder'!$G$1</c:f>
              <c:strCache>
                <c:ptCount val="1"/>
                <c:pt idx="0">
                  <c:v>Befolkningsstørrelse</c:v>
                </c:pt>
              </c:strCache>
            </c:strRef>
          </c:tx>
          <c:spPr>
            <a:solidFill>
              <a:schemeClr val="accent6"/>
            </a:solidFill>
            <a:ln>
              <a:noFill/>
            </a:ln>
            <a:effectLst/>
          </c:spPr>
          <c:cat>
            <c:strRef>
              <c:f>'Kommuner fire treårsperioder'!$E$43:$E$64</c:f>
              <c:strCache>
                <c:ptCount val="22"/>
                <c:pt idx="0">
                  <c:v>Engerdal - 396</c:v>
                </c:pt>
                <c:pt idx="1">
                  <c:v>Folldal - 389</c:v>
                </c:pt>
                <c:pt idx="2">
                  <c:v>Rendalen - 362</c:v>
                </c:pt>
                <c:pt idx="3">
                  <c:v>Stor-Elvdal - 318</c:v>
                </c:pt>
                <c:pt idx="4">
                  <c:v>Alvdal - 311</c:v>
                </c:pt>
                <c:pt idx="5">
                  <c:v>Trysil - 309</c:v>
                </c:pt>
                <c:pt idx="6">
                  <c:v>Os - 279</c:v>
                </c:pt>
                <c:pt idx="7">
                  <c:v>Tolga - 276</c:v>
                </c:pt>
                <c:pt idx="8">
                  <c:v>Åmot - 236</c:v>
                </c:pt>
                <c:pt idx="9">
                  <c:v>Eidskog - 235</c:v>
                </c:pt>
                <c:pt idx="10">
                  <c:v>Tynset - 225</c:v>
                </c:pt>
                <c:pt idx="11">
                  <c:v>Grue - 213</c:v>
                </c:pt>
                <c:pt idx="12">
                  <c:v>Åsnes - 208</c:v>
                </c:pt>
                <c:pt idx="13">
                  <c:v>Nord-Odal - 185</c:v>
                </c:pt>
                <c:pt idx="14">
                  <c:v>Våler - 166</c:v>
                </c:pt>
                <c:pt idx="15">
                  <c:v>Elverum - 141</c:v>
                </c:pt>
                <c:pt idx="16">
                  <c:v>Kongsvinger - 125</c:v>
                </c:pt>
                <c:pt idx="17">
                  <c:v>Sør-Odal - 103</c:v>
                </c:pt>
                <c:pt idx="18">
                  <c:v>Ringsaker - 75</c:v>
                </c:pt>
                <c:pt idx="19">
                  <c:v>Løten - 70</c:v>
                </c:pt>
                <c:pt idx="20">
                  <c:v>Hamar - 55</c:v>
                </c:pt>
                <c:pt idx="21">
                  <c:v>Stange - 45</c:v>
                </c:pt>
              </c:strCache>
            </c:strRef>
          </c:cat>
          <c:val>
            <c:numRef>
              <c:f>'Kommuner fire treårsperioder'!$G$43:$G$64</c:f>
              <c:numCache>
                <c:formatCode>0.0</c:formatCode>
                <c:ptCount val="22"/>
                <c:pt idx="0">
                  <c:v>-0.80031490429490071</c:v>
                </c:pt>
                <c:pt idx="1">
                  <c:v>-0.70241165355311952</c:v>
                </c:pt>
                <c:pt idx="2">
                  <c:v>-0.56740135073925257</c:v>
                </c:pt>
                <c:pt idx="3">
                  <c:v>-0.37417844082280527</c:v>
                </c:pt>
                <c:pt idx="4">
                  <c:v>-0.46515603148434026</c:v>
                </c:pt>
                <c:pt idx="5">
                  <c:v>0.23380484329941842</c:v>
                </c:pt>
                <c:pt idx="6">
                  <c:v>-0.56681424788784751</c:v>
                </c:pt>
                <c:pt idx="7">
                  <c:v>-0.68666249473517782</c:v>
                </c:pt>
                <c:pt idx="8">
                  <c:v>-7.0075499661328228E-2</c:v>
                </c:pt>
                <c:pt idx="9">
                  <c:v>0.18822955013430281</c:v>
                </c:pt>
                <c:pt idx="10">
                  <c:v>7.7493532204074733E-2</c:v>
                </c:pt>
                <c:pt idx="11">
                  <c:v>4.7542476514689153E-2</c:v>
                </c:pt>
                <c:pt idx="12">
                  <c:v>0.31559078679769004</c:v>
                </c:pt>
                <c:pt idx="13">
                  <c:v>3.323878139829016E-2</c:v>
                </c:pt>
                <c:pt idx="14">
                  <c:v>-0.14100399063828975</c:v>
                </c:pt>
                <c:pt idx="15">
                  <c:v>0.9252952939765019</c:v>
                </c:pt>
                <c:pt idx="16">
                  <c:v>0.85780918799206396</c:v>
                </c:pt>
                <c:pt idx="17">
                  <c:v>0.31046811028471533</c:v>
                </c:pt>
                <c:pt idx="18">
                  <c:v>1.2711222824749184</c:v>
                </c:pt>
                <c:pt idx="19">
                  <c:v>0.27523820894830525</c:v>
                </c:pt>
                <c:pt idx="20">
                  <c:v>1.1728094544801748</c:v>
                </c:pt>
                <c:pt idx="21">
                  <c:v>0.90424383904979289</c:v>
                </c:pt>
              </c:numCache>
            </c:numRef>
          </c:val>
        </c:ser>
        <c:ser>
          <c:idx val="2"/>
          <c:order val="2"/>
          <c:tx>
            <c:strRef>
              <c:f>'Kommuner fire treårsperioder'!$H$1</c:f>
              <c:strCache>
                <c:ptCount val="1"/>
                <c:pt idx="0">
                  <c:v>Nabovekst</c:v>
                </c:pt>
              </c:strCache>
            </c:strRef>
          </c:tx>
          <c:spPr>
            <a:solidFill>
              <a:srgbClr val="FFC000"/>
            </a:solidFill>
            <a:ln>
              <a:noFill/>
            </a:ln>
            <a:effectLst/>
          </c:spPr>
          <c:cat>
            <c:strRef>
              <c:f>'Kommuner fire treårsperioder'!$E$43:$E$64</c:f>
              <c:strCache>
                <c:ptCount val="22"/>
                <c:pt idx="0">
                  <c:v>Engerdal - 396</c:v>
                </c:pt>
                <c:pt idx="1">
                  <c:v>Folldal - 389</c:v>
                </c:pt>
                <c:pt idx="2">
                  <c:v>Rendalen - 362</c:v>
                </c:pt>
                <c:pt idx="3">
                  <c:v>Stor-Elvdal - 318</c:v>
                </c:pt>
                <c:pt idx="4">
                  <c:v>Alvdal - 311</c:v>
                </c:pt>
                <c:pt idx="5">
                  <c:v>Trysil - 309</c:v>
                </c:pt>
                <c:pt idx="6">
                  <c:v>Os - 279</c:v>
                </c:pt>
                <c:pt idx="7">
                  <c:v>Tolga - 276</c:v>
                </c:pt>
                <c:pt idx="8">
                  <c:v>Åmot - 236</c:v>
                </c:pt>
                <c:pt idx="9">
                  <c:v>Eidskog - 235</c:v>
                </c:pt>
                <c:pt idx="10">
                  <c:v>Tynset - 225</c:v>
                </c:pt>
                <c:pt idx="11">
                  <c:v>Grue - 213</c:v>
                </c:pt>
                <c:pt idx="12">
                  <c:v>Åsnes - 208</c:v>
                </c:pt>
                <c:pt idx="13">
                  <c:v>Nord-Odal - 185</c:v>
                </c:pt>
                <c:pt idx="14">
                  <c:v>Våler - 166</c:v>
                </c:pt>
                <c:pt idx="15">
                  <c:v>Elverum - 141</c:v>
                </c:pt>
                <c:pt idx="16">
                  <c:v>Kongsvinger - 125</c:v>
                </c:pt>
                <c:pt idx="17">
                  <c:v>Sør-Odal - 103</c:v>
                </c:pt>
                <c:pt idx="18">
                  <c:v>Ringsaker - 75</c:v>
                </c:pt>
                <c:pt idx="19">
                  <c:v>Løten - 70</c:v>
                </c:pt>
                <c:pt idx="20">
                  <c:v>Hamar - 55</c:v>
                </c:pt>
                <c:pt idx="21">
                  <c:v>Stange - 45</c:v>
                </c:pt>
              </c:strCache>
            </c:strRef>
          </c:cat>
          <c:val>
            <c:numRef>
              <c:f>'Kommuner fire treårsperioder'!$H$43:$H$64</c:f>
              <c:numCache>
                <c:formatCode>0.0</c:formatCode>
                <c:ptCount val="22"/>
                <c:pt idx="0">
                  <c:v>-0.25866370735497984</c:v>
                </c:pt>
                <c:pt idx="1">
                  <c:v>-5.0268024226653649E-2</c:v>
                </c:pt>
                <c:pt idx="2">
                  <c:v>-0.26249013385356335</c:v>
                </c:pt>
                <c:pt idx="3">
                  <c:v>-0.1390799057897619</c:v>
                </c:pt>
                <c:pt idx="4">
                  <c:v>-0.30265314459147774</c:v>
                </c:pt>
                <c:pt idx="5">
                  <c:v>-7.095398485151419E-2</c:v>
                </c:pt>
                <c:pt idx="6">
                  <c:v>-0.43609592914615947</c:v>
                </c:pt>
                <c:pt idx="7">
                  <c:v>-0.34709142686431327</c:v>
                </c:pt>
                <c:pt idx="8">
                  <c:v>-8.7872692044893438E-2</c:v>
                </c:pt>
                <c:pt idx="9">
                  <c:v>-0.67178598792696276</c:v>
                </c:pt>
                <c:pt idx="10">
                  <c:v>-8.0089192888419716E-2</c:v>
                </c:pt>
                <c:pt idx="11">
                  <c:v>-0.62788336476167039</c:v>
                </c:pt>
                <c:pt idx="12">
                  <c:v>-0.5535797623473816</c:v>
                </c:pt>
                <c:pt idx="13">
                  <c:v>-0.54278330516365492</c:v>
                </c:pt>
                <c:pt idx="14">
                  <c:v>-0.38588700604959336</c:v>
                </c:pt>
                <c:pt idx="15">
                  <c:v>-0.11667621976783379</c:v>
                </c:pt>
                <c:pt idx="16">
                  <c:v>-0.21058121712236699</c:v>
                </c:pt>
                <c:pt idx="17">
                  <c:v>-0.47404653111915573</c:v>
                </c:pt>
                <c:pt idx="18">
                  <c:v>6.1391786396651658E-3</c:v>
                </c:pt>
                <c:pt idx="19">
                  <c:v>-3.3644463217623884E-2</c:v>
                </c:pt>
                <c:pt idx="20">
                  <c:v>-0.20366876670713613</c:v>
                </c:pt>
                <c:pt idx="21">
                  <c:v>1.4496095076987349E-2</c:v>
                </c:pt>
              </c:numCache>
            </c:numRef>
          </c:val>
        </c:ser>
        <c:gapWidth val="30"/>
        <c:overlap val="100"/>
        <c:axId val="255037824"/>
        <c:axId val="255039360"/>
      </c:barChart>
      <c:catAx>
        <c:axId val="255037824"/>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5039360"/>
        <c:crosses val="autoZero"/>
        <c:auto val="1"/>
        <c:lblAlgn val="ctr"/>
        <c:lblOffset val="100"/>
      </c:catAx>
      <c:valAx>
        <c:axId val="255039360"/>
        <c:scaling>
          <c:orientation val="minMax"/>
          <c:min val="-2"/>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5037824"/>
        <c:crosses val="autoZero"/>
        <c:crossBetween val="between"/>
        <c:majorUnit val="1"/>
      </c:valAx>
      <c:spPr>
        <a:noFill/>
        <a:ln>
          <a:noFill/>
        </a:ln>
        <a:effectLst/>
      </c:spPr>
    </c:plotArea>
    <c:legend>
      <c:legendPos val="t"/>
      <c:layout>
        <c:manualLayout>
          <c:xMode val="edge"/>
          <c:yMode val="edge"/>
          <c:x val="0.05"/>
          <c:y val="0"/>
          <c:w val="0.9"/>
          <c:h val="4.3030697249800333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pivotSource>
    <c:name>[Glåmdal grunnmur.xlsx]Bostedsattraktivitet!Bostedsattraktivitet</c:name>
    <c:fmtId val="51"/>
  </c:pivotSource>
  <c:chart>
    <c:pivotFmts>
      <c:pivotFmt>
        <c:idx val="0"/>
        <c:spPr>
          <a:solidFill>
            <a:srgbClr val="00B0F0"/>
          </a:solidFill>
          <a:ln>
            <a:noFill/>
          </a:ln>
          <a:effectLst/>
        </c:spPr>
        <c:marker>
          <c:symbol val="none"/>
        </c:marker>
      </c:pivotFmt>
      <c:pivotFmt>
        <c:idx val="1"/>
        <c:spPr>
          <a:solidFill>
            <a:srgbClr val="002060"/>
          </a:solidFill>
          <a:ln w="25400">
            <a:noFill/>
          </a:ln>
          <a:effectLst/>
        </c:spPr>
        <c:marker>
          <c:symbol val="none"/>
        </c:marker>
      </c:pivotFmt>
      <c:pivotFmt>
        <c:idx val="2"/>
        <c:spPr>
          <a:solidFill>
            <a:srgbClr val="7030A0"/>
          </a:solidFill>
          <a:ln w="25400">
            <a:noFill/>
          </a:ln>
          <a:effectLst/>
        </c:spPr>
        <c:marker>
          <c:symbol val="none"/>
        </c:marker>
      </c:pivotFmt>
      <c:pivotFmt>
        <c:idx val="3"/>
        <c:spPr>
          <a:solidFill>
            <a:srgbClr val="FFC000"/>
          </a:solidFill>
          <a:ln w="25400">
            <a:noFill/>
          </a:ln>
          <a:effectLst/>
        </c:spPr>
        <c:marker>
          <c:symbol val="none"/>
        </c:marker>
      </c:pivotFmt>
      <c:pivotFmt>
        <c:idx val="4"/>
        <c:spPr>
          <a:solidFill>
            <a:srgbClr val="92D050"/>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pivotFmt>
      <c:pivotFmt>
        <c:idx val="6"/>
        <c:spPr>
          <a:solidFill>
            <a:srgbClr val="C00000"/>
          </a:solidFill>
          <a:ln w="25400">
            <a:noFill/>
          </a:ln>
          <a:effectLst/>
        </c:spPr>
        <c:marker>
          <c:symbol val="none"/>
        </c:marker>
      </c:pivotFmt>
      <c:pivotFmt>
        <c:idx val="7"/>
        <c:spPr>
          <a:solidFill>
            <a:srgbClr val="00B0F0"/>
          </a:solidFill>
          <a:ln>
            <a:noFill/>
          </a:ln>
          <a:effectLst/>
        </c:spPr>
        <c:marker>
          <c:symbol val="none"/>
        </c:marker>
      </c:pivotFmt>
      <c:pivotFmt>
        <c:idx val="8"/>
        <c:spPr>
          <a:solidFill>
            <a:srgbClr val="002060"/>
          </a:solidFill>
          <a:ln w="25400">
            <a:noFill/>
          </a:ln>
          <a:effectLst/>
        </c:spPr>
        <c:marker>
          <c:symbol val="none"/>
        </c:marker>
      </c:pivotFmt>
      <c:pivotFmt>
        <c:idx val="9"/>
        <c:spPr>
          <a:solidFill>
            <a:srgbClr val="C00000"/>
          </a:solidFill>
          <a:ln w="25400">
            <a:noFill/>
          </a:ln>
          <a:effectLst/>
        </c:spPr>
        <c:marker>
          <c:symbol val="none"/>
        </c:marker>
      </c:pivotFmt>
      <c:pivotFmt>
        <c:idx val="10"/>
        <c:spPr>
          <a:solidFill>
            <a:srgbClr val="7030A0"/>
          </a:solidFill>
          <a:ln w="25400">
            <a:noFill/>
          </a:ln>
          <a:effectLst/>
        </c:spPr>
        <c:marker>
          <c:symbol val="none"/>
        </c:marker>
      </c:pivotFmt>
      <c:pivotFmt>
        <c:idx val="11"/>
        <c:spPr>
          <a:solidFill>
            <a:srgbClr val="FFC000"/>
          </a:solidFill>
          <a:ln w="25400">
            <a:noFill/>
          </a:ln>
          <a:effectLst/>
        </c:spPr>
        <c:marker>
          <c:symbol val="none"/>
        </c:marker>
      </c:pivotFmt>
      <c:pivotFmt>
        <c:idx val="12"/>
        <c:spPr>
          <a:solidFill>
            <a:srgbClr val="92D050"/>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pivotFmt>
      <c:pivotFmt>
        <c:idx val="14"/>
        <c:spPr>
          <a:solidFill>
            <a:srgbClr val="00B0F0"/>
          </a:solidFill>
          <a:ln>
            <a:noFill/>
          </a:ln>
          <a:effectLst/>
        </c:spPr>
        <c:marker>
          <c:symbol val="none"/>
        </c:marker>
      </c:pivotFmt>
      <c:pivotFmt>
        <c:idx val="15"/>
        <c:spPr>
          <a:solidFill>
            <a:srgbClr val="002060"/>
          </a:solidFill>
          <a:ln w="25400">
            <a:noFill/>
          </a:ln>
          <a:effectLst/>
        </c:spPr>
        <c:marker>
          <c:symbol val="none"/>
        </c:marker>
      </c:pivotFmt>
      <c:pivotFmt>
        <c:idx val="16"/>
        <c:spPr>
          <a:solidFill>
            <a:srgbClr val="C00000"/>
          </a:solidFill>
          <a:ln w="25400">
            <a:noFill/>
          </a:ln>
          <a:effectLst/>
        </c:spPr>
        <c:marker>
          <c:symbol val="none"/>
        </c:marker>
      </c:pivotFmt>
      <c:pivotFmt>
        <c:idx val="17"/>
        <c:spPr>
          <a:solidFill>
            <a:srgbClr val="7030A0"/>
          </a:solidFill>
          <a:ln w="25400">
            <a:noFill/>
          </a:ln>
          <a:effectLst/>
        </c:spPr>
        <c:marker>
          <c:symbol val="none"/>
        </c:marker>
      </c:pivotFmt>
      <c:pivotFmt>
        <c:idx val="18"/>
        <c:spPr>
          <a:solidFill>
            <a:srgbClr val="FFC000"/>
          </a:solidFill>
          <a:ln w="25400">
            <a:noFill/>
          </a:ln>
          <a:effectLst/>
        </c:spPr>
        <c:marker>
          <c:symbol val="none"/>
        </c:marker>
      </c:pivotFmt>
      <c:pivotFmt>
        <c:idx val="19"/>
        <c:spPr>
          <a:solidFill>
            <a:srgbClr val="92D050"/>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pivotFmt>
    </c:pivotFmts>
    <c:plotArea>
      <c:layout>
        <c:manualLayout>
          <c:layoutTarget val="inner"/>
          <c:xMode val="edge"/>
          <c:yMode val="edge"/>
          <c:x val="8.2112127288436726E-2"/>
          <c:y val="0.19388564496264038"/>
          <c:w val="0.88752210321535863"/>
          <c:h val="0.70480615130641844"/>
        </c:manualLayout>
      </c:layout>
      <c:barChart>
        <c:barDir val="col"/>
        <c:grouping val="stacked"/>
        <c:ser>
          <c:idx val="0"/>
          <c:order val="0"/>
          <c:tx>
            <c:strRef>
              <c:f>Bostedsattraktivitet!$H$1</c:f>
              <c:strCache>
                <c:ptCount val="1"/>
                <c:pt idx="0">
                  <c:v>Arbeidsplassvekst</c:v>
                </c:pt>
              </c:strCache>
            </c:strRef>
          </c:tx>
          <c:spPr>
            <a:solidFill>
              <a:srgbClr val="00B0F0"/>
            </a:solidFill>
            <a:ln>
              <a:noFill/>
            </a:ln>
            <a:effectLst/>
          </c:spPr>
          <c:cat>
            <c:strRef>
              <c:f>Bostedsattraktivitet!$G$2:$G$12</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Bostedsattraktivitet!$H$2:$H$12</c:f>
              <c:numCache>
                <c:formatCode>0.0</c:formatCode>
                <c:ptCount val="11"/>
                <c:pt idx="0">
                  <c:v>-0.27304831220042208</c:v>
                </c:pt>
                <c:pt idx="1">
                  <c:v>-0.18756837072530108</c:v>
                </c:pt>
                <c:pt idx="2">
                  <c:v>-0.45207931686986408</c:v>
                </c:pt>
                <c:pt idx="3">
                  <c:v>-0.31763939863379254</c:v>
                </c:pt>
                <c:pt idx="4">
                  <c:v>-0.98011650331185529</c:v>
                </c:pt>
                <c:pt idx="5">
                  <c:v>-0.33451918355830867</c:v>
                </c:pt>
                <c:pt idx="6">
                  <c:v>-0.70621546013982783</c:v>
                </c:pt>
                <c:pt idx="7">
                  <c:v>-0.64684776348811379</c:v>
                </c:pt>
                <c:pt idx="8">
                  <c:v>-0.84958877496806529</c:v>
                </c:pt>
                <c:pt idx="9">
                  <c:v>-0.59658505073841761</c:v>
                </c:pt>
                <c:pt idx="10">
                  <c:v>-0.63788055409207944</c:v>
                </c:pt>
              </c:numCache>
            </c:numRef>
          </c:val>
        </c:ser>
        <c:ser>
          <c:idx val="1"/>
          <c:order val="1"/>
          <c:tx>
            <c:strRef>
              <c:f>Bostedsattraktivitet!$I$1</c:f>
              <c:strCache>
                <c:ptCount val="1"/>
                <c:pt idx="0">
                  <c:v>Arbeidsmarkedsintegrasjon</c:v>
                </c:pt>
              </c:strCache>
            </c:strRef>
          </c:tx>
          <c:spPr>
            <a:solidFill>
              <a:srgbClr val="002060"/>
            </a:solidFill>
            <a:ln w="25400">
              <a:noFill/>
            </a:ln>
            <a:effectLst/>
          </c:spPr>
          <c:cat>
            <c:strRef>
              <c:f>Bostedsattraktivitet!$G$2:$G$12</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Bostedsattraktivitet!$I$2:$I$12</c:f>
              <c:numCache>
                <c:formatCode>0.0</c:formatCode>
                <c:ptCount val="11"/>
                <c:pt idx="0">
                  <c:v>-5.4566174974017674E-2</c:v>
                </c:pt>
                <c:pt idx="1">
                  <c:v>-5.6269352996408416E-2</c:v>
                </c:pt>
                <c:pt idx="2">
                  <c:v>-7.0222422914767074E-2</c:v>
                </c:pt>
                <c:pt idx="3">
                  <c:v>-9.3264249029504115E-2</c:v>
                </c:pt>
                <c:pt idx="4">
                  <c:v>-9.0560689707752204E-2</c:v>
                </c:pt>
                <c:pt idx="5">
                  <c:v>-8.0737600627873038E-2</c:v>
                </c:pt>
                <c:pt idx="6">
                  <c:v>-6.5972088017520733E-2</c:v>
                </c:pt>
                <c:pt idx="7">
                  <c:v>-6.2700964315277372E-2</c:v>
                </c:pt>
                <c:pt idx="8">
                  <c:v>-6.5734525446801473E-2</c:v>
                </c:pt>
                <c:pt idx="9">
                  <c:v>-5.7979761342029361E-2</c:v>
                </c:pt>
                <c:pt idx="10">
                  <c:v>-4.5276839826382226E-2</c:v>
                </c:pt>
              </c:numCache>
            </c:numRef>
          </c:val>
        </c:ser>
        <c:ser>
          <c:idx val="2"/>
          <c:order val="2"/>
          <c:tx>
            <c:strRef>
              <c:f>Bostedsattraktivitet!$J$1</c:f>
              <c:strCache>
                <c:ptCount val="1"/>
                <c:pt idx="0">
                  <c:v>Intern arbeidsmarkedsintegrasjon</c:v>
                </c:pt>
              </c:strCache>
            </c:strRef>
          </c:tx>
          <c:spPr>
            <a:solidFill>
              <a:srgbClr val="C00000"/>
            </a:solidFill>
            <a:ln w="25400">
              <a:noFill/>
            </a:ln>
            <a:effectLst/>
          </c:spPr>
          <c:cat>
            <c:strRef>
              <c:f>Bostedsattraktivitet!$G$2:$G$12</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Bostedsattraktivitet!$J$2:$J$12</c:f>
              <c:numCache>
                <c:formatCode>0.0</c:formatCode>
                <c:ptCount val="11"/>
                <c:pt idx="0">
                  <c:v>9.4251212967946266E-2</c:v>
                </c:pt>
                <c:pt idx="1">
                  <c:v>0.10024135411399118</c:v>
                </c:pt>
                <c:pt idx="2">
                  <c:v>0.10983051809162839</c:v>
                </c:pt>
                <c:pt idx="3">
                  <c:v>0.13834312297741039</c:v>
                </c:pt>
                <c:pt idx="4">
                  <c:v>0.14739772249342656</c:v>
                </c:pt>
                <c:pt idx="5">
                  <c:v>0.15673115891863998</c:v>
                </c:pt>
                <c:pt idx="6">
                  <c:v>0.17619486317837524</c:v>
                </c:pt>
                <c:pt idx="7">
                  <c:v>0.17601939872378763</c:v>
                </c:pt>
                <c:pt idx="8">
                  <c:v>0.16815872109204408</c:v>
                </c:pt>
                <c:pt idx="9">
                  <c:v>0.17621851368521912</c:v>
                </c:pt>
                <c:pt idx="10">
                  <c:v>0.17605638322612877</c:v>
                </c:pt>
              </c:numCache>
            </c:numRef>
          </c:val>
        </c:ser>
        <c:ser>
          <c:idx val="3"/>
          <c:order val="3"/>
          <c:tx>
            <c:strRef>
              <c:f>Bostedsattraktivitet!$K$1</c:f>
              <c:strCache>
                <c:ptCount val="1"/>
                <c:pt idx="0">
                  <c:v>Befolkningsstørrelse</c:v>
                </c:pt>
              </c:strCache>
            </c:strRef>
          </c:tx>
          <c:spPr>
            <a:solidFill>
              <a:srgbClr val="7030A0"/>
            </a:solidFill>
            <a:ln w="25400">
              <a:noFill/>
            </a:ln>
            <a:effectLst/>
          </c:spPr>
          <c:cat>
            <c:strRef>
              <c:f>Bostedsattraktivitet!$G$2:$G$12</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Bostedsattraktivitet!$K$2:$K$12</c:f>
              <c:numCache>
                <c:formatCode>0.0</c:formatCode>
                <c:ptCount val="11"/>
                <c:pt idx="0">
                  <c:v>5.4528179720287707E-2</c:v>
                </c:pt>
                <c:pt idx="1">
                  <c:v>5.4261381579005577E-2</c:v>
                </c:pt>
                <c:pt idx="2">
                  <c:v>5.3980386384739877E-2</c:v>
                </c:pt>
                <c:pt idx="3">
                  <c:v>5.3782848854875193E-2</c:v>
                </c:pt>
                <c:pt idx="4">
                  <c:v>5.3432397416518507E-2</c:v>
                </c:pt>
                <c:pt idx="5">
                  <c:v>5.2950590407364703E-2</c:v>
                </c:pt>
                <c:pt idx="6">
                  <c:v>5.2542649993403717E-2</c:v>
                </c:pt>
                <c:pt idx="7">
                  <c:v>5.2774289440555719E-2</c:v>
                </c:pt>
                <c:pt idx="8">
                  <c:v>5.2792618318675787E-2</c:v>
                </c:pt>
                <c:pt idx="9">
                  <c:v>5.2783454217496022E-2</c:v>
                </c:pt>
                <c:pt idx="10">
                  <c:v>5.2815525587016167E-2</c:v>
                </c:pt>
              </c:numCache>
            </c:numRef>
          </c:val>
        </c:ser>
        <c:ser>
          <c:idx val="4"/>
          <c:order val="4"/>
          <c:tx>
            <c:strRef>
              <c:f>Bostedsattraktivitet!$L$1</c:f>
              <c:strCache>
                <c:ptCount val="1"/>
                <c:pt idx="0">
                  <c:v>Nabovekst</c:v>
                </c:pt>
              </c:strCache>
            </c:strRef>
          </c:tx>
          <c:spPr>
            <a:solidFill>
              <a:srgbClr val="FFC000"/>
            </a:solidFill>
            <a:ln w="25400">
              <a:noFill/>
            </a:ln>
            <a:effectLst/>
          </c:spPr>
          <c:cat>
            <c:strRef>
              <c:f>Bostedsattraktivitet!$G$2:$G$12</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Bostedsattraktivitet!$L$2:$L$12</c:f>
              <c:numCache>
                <c:formatCode>0.0</c:formatCode>
                <c:ptCount val="11"/>
                <c:pt idx="0">
                  <c:v>-0.13169679628489009</c:v>
                </c:pt>
                <c:pt idx="1">
                  <c:v>-0.12698384785230774</c:v>
                </c:pt>
                <c:pt idx="2">
                  <c:v>-2.4776220991457047E-2</c:v>
                </c:pt>
                <c:pt idx="3">
                  <c:v>-1.3546311644942501E-3</c:v>
                </c:pt>
                <c:pt idx="4">
                  <c:v>-1.6794030733335089E-2</c:v>
                </c:pt>
                <c:pt idx="5">
                  <c:v>-1.242730528171548E-2</c:v>
                </c:pt>
                <c:pt idx="6">
                  <c:v>2.1074101517977336E-2</c:v>
                </c:pt>
                <c:pt idx="7">
                  <c:v>1.8304041908994876E-2</c:v>
                </c:pt>
                <c:pt idx="8">
                  <c:v>1.6371911356614515E-2</c:v>
                </c:pt>
                <c:pt idx="9">
                  <c:v>3.5242051584572165E-2</c:v>
                </c:pt>
                <c:pt idx="10">
                  <c:v>4.3431561863522448E-2</c:v>
                </c:pt>
              </c:numCache>
            </c:numRef>
          </c:val>
        </c:ser>
        <c:ser>
          <c:idx val="5"/>
          <c:order val="5"/>
          <c:tx>
            <c:strRef>
              <c:f>Bostedsattraktivitet!$M$1</c:f>
              <c:strCache>
                <c:ptCount val="1"/>
                <c:pt idx="0">
                  <c:v>Ekte bostedsattraktivitet</c:v>
                </c:pt>
              </c:strCache>
            </c:strRef>
          </c:tx>
          <c:spPr>
            <a:solidFill>
              <a:srgbClr val="92D050"/>
            </a:solidFill>
            <a:ln w="25400">
              <a:noFill/>
            </a:ln>
            <a:effectLst/>
          </c:spP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Bostedsattraktivitet!$G$2:$G$12</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Bostedsattraktivitet!$M$2:$M$12</c:f>
              <c:numCache>
                <c:formatCode>0.0</c:formatCode>
                <c:ptCount val="11"/>
                <c:pt idx="0">
                  <c:v>0.78917491848214805</c:v>
                </c:pt>
                <c:pt idx="1">
                  <c:v>0.56834158559931403</c:v>
                </c:pt>
                <c:pt idx="2">
                  <c:v>0.56830140902858528</c:v>
                </c:pt>
                <c:pt idx="3">
                  <c:v>0.32386839467427025</c:v>
                </c:pt>
                <c:pt idx="4">
                  <c:v>1.0578345045744098</c:v>
                </c:pt>
                <c:pt idx="5">
                  <c:v>0.38314528384982022</c:v>
                </c:pt>
                <c:pt idx="6">
                  <c:v>0.60563450517360695</c:v>
                </c:pt>
                <c:pt idx="7">
                  <c:v>0.26155455844056003</c:v>
                </c:pt>
                <c:pt idx="8">
                  <c:v>0.38715319633477613</c:v>
                </c:pt>
                <c:pt idx="9">
                  <c:v>-3.7171281677390713E-2</c:v>
                </c:pt>
                <c:pt idx="10">
                  <c:v>8.3318802957725605E-2</c:v>
                </c:pt>
              </c:numCache>
            </c:numRef>
          </c:val>
        </c:ser>
        <c:gapWidth val="30"/>
        <c:overlap val="100"/>
        <c:axId val="89012096"/>
        <c:axId val="89013632"/>
      </c:barChart>
      <c:lineChart>
        <c:grouping val="standard"/>
        <c:ser>
          <c:idx val="6"/>
          <c:order val="6"/>
          <c:tx>
            <c:strRef>
              <c:f>Bostedsattraktivitet!$N$1</c:f>
              <c:strCache>
                <c:ptCount val="1"/>
                <c:pt idx="0">
                  <c:v>Nettoflytting</c:v>
                </c:pt>
              </c:strCache>
            </c:strRef>
          </c:tx>
          <c:spPr>
            <a:ln w="28575" cap="rnd">
              <a:solidFill>
                <a:schemeClr val="accent1">
                  <a:lumMod val="60000"/>
                </a:schemeClr>
              </a:solidFill>
              <a:round/>
            </a:ln>
            <a:effectLst/>
          </c:spPr>
          <c:marker>
            <c:symbol val="none"/>
          </c:marker>
          <c:cat>
            <c:strRef>
              <c:f>Bostedsattraktivitet!$G$2:$G$12</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Bostedsattraktivitet!$N$2:$N$12</c:f>
              <c:numCache>
                <c:formatCode>0.0</c:formatCode>
                <c:ptCount val="11"/>
                <c:pt idx="0">
                  <c:v>0.46569856900000012</c:v>
                </c:pt>
                <c:pt idx="1">
                  <c:v>0.33907829100000025</c:v>
                </c:pt>
                <c:pt idx="2">
                  <c:v>0.17208989399999999</c:v>
                </c:pt>
                <c:pt idx="3">
                  <c:v>9.079162900000004E-2</c:v>
                </c:pt>
                <c:pt idx="4">
                  <c:v>0.15824894200000011</c:v>
                </c:pt>
                <c:pt idx="5">
                  <c:v>0.15219848500000008</c:v>
                </c:pt>
                <c:pt idx="6">
                  <c:v>7.0314112999999998E-2</c:v>
                </c:pt>
                <c:pt idx="7">
                  <c:v>-0.21384089800000006</c:v>
                </c:pt>
                <c:pt idx="8">
                  <c:v>-0.30379131199999998</c:v>
                </c:pt>
                <c:pt idx="9">
                  <c:v>-0.44043653300000002</c:v>
                </c:pt>
                <c:pt idx="10">
                  <c:v>-0.34047957900000014</c:v>
                </c:pt>
              </c:numCache>
            </c:numRef>
          </c:val>
        </c:ser>
        <c:marker val="1"/>
        <c:axId val="89012096"/>
        <c:axId val="89013632"/>
      </c:lineChart>
      <c:catAx>
        <c:axId val="89012096"/>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89013632"/>
        <c:crosses val="autoZero"/>
        <c:auto val="1"/>
        <c:lblAlgn val="ctr"/>
        <c:lblOffset val="100"/>
      </c:catAx>
      <c:valAx>
        <c:axId val="89013632"/>
        <c:scaling>
          <c:orientation val="minMax"/>
        </c:scaling>
        <c:axPos val="l"/>
        <c:majorGridlines>
          <c:spPr>
            <a:ln w="9525" cap="flat" cmpd="sng" algn="ctr">
              <a:solidFill>
                <a:schemeClr val="tx1">
                  <a:lumMod val="15000"/>
                  <a:lumOff val="85000"/>
                </a:schemeClr>
              </a:solidFill>
              <a:round/>
            </a:ln>
            <a:effectLst/>
          </c:spPr>
        </c:majorGridlines>
        <c:numFmt formatCode="0.0" sourceLinked="0"/>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89012096"/>
        <c:crosses val="autoZero"/>
        <c:crossBetween val="between"/>
      </c:valAx>
      <c:spPr>
        <a:noFill/>
        <a:ln>
          <a:noFill/>
        </a:ln>
        <a:effectLst/>
      </c:spPr>
    </c:plotArea>
    <c:legend>
      <c:legendPos val="t"/>
      <c:layout>
        <c:manualLayout>
          <c:xMode val="edge"/>
          <c:yMode val="edge"/>
          <c:x val="1.6482722268411926E-3"/>
          <c:y val="0"/>
          <c:w val="0.86987343973307696"/>
          <c:h val="0.19753659123008896"/>
        </c:manualLayout>
      </c:layout>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105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nb-NO"/>
  <c:chart>
    <c:plotArea>
      <c:layout/>
      <c:barChart>
        <c:barDir val="col"/>
        <c:grouping val="clustered"/>
        <c:ser>
          <c:idx val="1"/>
          <c:order val="1"/>
          <c:dPt>
            <c:idx val="0"/>
            <c:spPr>
              <a:solidFill>
                <a:schemeClr val="tx1"/>
              </a:solidFill>
            </c:spPr>
          </c:dPt>
          <c:dPt>
            <c:idx val="1"/>
            <c:spPr>
              <a:solidFill>
                <a:schemeClr val="tx1"/>
              </a:solidFill>
            </c:spPr>
          </c:dPt>
          <c:dPt>
            <c:idx val="2"/>
            <c:spPr>
              <a:solidFill>
                <a:schemeClr val="tx1"/>
              </a:solidFill>
            </c:spPr>
          </c:dPt>
          <c:dPt>
            <c:idx val="3"/>
            <c:spPr>
              <a:solidFill>
                <a:schemeClr val="tx1"/>
              </a:solidFill>
            </c:spPr>
          </c:dPt>
          <c:dPt>
            <c:idx val="4"/>
            <c:spPr>
              <a:solidFill>
                <a:schemeClr val="tx1"/>
              </a:solidFill>
            </c:spPr>
          </c:dPt>
          <c:dPt>
            <c:idx val="5"/>
            <c:spPr>
              <a:solidFill>
                <a:schemeClr val="tx1"/>
              </a:solidFill>
            </c:spPr>
          </c:dPt>
          <c:dPt>
            <c:idx val="6"/>
            <c:spPr>
              <a:solidFill>
                <a:schemeClr val="tx1"/>
              </a:solidFill>
            </c:spPr>
          </c:dPt>
          <c:cat>
            <c:numRef>
              <c:f>'Nasjonal vekst'!$A$3:$A$22</c:f>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'Nasjonal vekst'!$E$3:$E$22</c:f>
              <c:numCache>
                <c:formatCode>0.0</c:formatCode>
                <c:ptCount val="20"/>
                <c:pt idx="0">
                  <c:v>3.3066191062504697</c:v>
                </c:pt>
                <c:pt idx="1">
                  <c:v>3.4818005282294981</c:v>
                </c:pt>
                <c:pt idx="2">
                  <c:v>1.5913626940830754</c:v>
                </c:pt>
                <c:pt idx="3">
                  <c:v>-0.84745836733200852</c:v>
                </c:pt>
                <c:pt idx="4">
                  <c:v>0.80096115338406082</c:v>
                </c:pt>
                <c:pt idx="5">
                  <c:v>1.787842669845054</c:v>
                </c:pt>
                <c:pt idx="6">
                  <c:v>1.053864168618267</c:v>
                </c:pt>
                <c:pt idx="7">
                  <c:v>1.4090649043326038</c:v>
                </c:pt>
                <c:pt idx="8">
                  <c:v>1.2777030391570798</c:v>
                </c:pt>
                <c:pt idx="9">
                  <c:v>1.2402740219803277</c:v>
                </c:pt>
                <c:pt idx="10">
                  <c:v>1.192309817682498</c:v>
                </c:pt>
                <c:pt idx="11">
                  <c:v>1.1255321735713655</c:v>
                </c:pt>
                <c:pt idx="12">
                  <c:v>1.0249488557834461</c:v>
                </c:pt>
                <c:pt idx="13">
                  <c:v>0.91632756147664662</c:v>
                </c:pt>
                <c:pt idx="14">
                  <c:v>0.80457737202496038</c:v>
                </c:pt>
                <c:pt idx="15">
                  <c:v>0.72158032528769378</c:v>
                </c:pt>
                <c:pt idx="16">
                  <c:v>0.65743278752745149</c:v>
                </c:pt>
                <c:pt idx="17">
                  <c:v>0.62181782923694573</c:v>
                </c:pt>
                <c:pt idx="18">
                  <c:v>0.5790882707221241</c:v>
                </c:pt>
                <c:pt idx="19">
                  <c:v>0.5466855588668087</c:v>
                </c:pt>
              </c:numCache>
            </c:numRef>
          </c:val>
        </c:ser>
        <c:gapWidth val="30"/>
        <c:axId val="255080320"/>
        <c:axId val="255078400"/>
      </c:barChart>
      <c:lineChart>
        <c:grouping val="standard"/>
        <c:ser>
          <c:idx val="0"/>
          <c:order val="0"/>
          <c:marker>
            <c:symbol val="none"/>
          </c:marker>
          <c:cat>
            <c:numRef>
              <c:f>'Nasjonal vekst'!$A$3:$A$22</c:f>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'Nasjonal vekst'!$B$3:$B$22</c:f>
              <c:numCache>
                <c:formatCode>0</c:formatCode>
                <c:ptCount val="20"/>
                <c:pt idx="0">
                  <c:v>2368642.7850000006</c:v>
                </c:pt>
                <c:pt idx="1">
                  <c:v>2451114.2020000005</c:v>
                </c:pt>
                <c:pt idx="2">
                  <c:v>2490120.3189999997</c:v>
                </c:pt>
                <c:pt idx="3">
                  <c:v>2469017.5860000006</c:v>
                </c:pt>
                <c:pt idx="4">
                  <c:v>2485842.6540000001</c:v>
                </c:pt>
                <c:pt idx="5">
                  <c:v>2527303.6570000006</c:v>
                </c:pt>
                <c:pt idx="6">
                  <c:v>2554913.5379999988</c:v>
                </c:pt>
                <c:pt idx="7">
                  <c:v>2590913.9279999998</c:v>
                </c:pt>
                <c:pt idx="8">
                  <c:v>2624018.1139999987</c:v>
                </c:pt>
                <c:pt idx="9">
                  <c:v>2656563.1289999997</c:v>
                </c:pt>
                <c:pt idx="10">
                  <c:v>2688237.5919999997</c:v>
                </c:pt>
                <c:pt idx="11">
                  <c:v>2718494.571</c:v>
                </c:pt>
                <c:pt idx="12">
                  <c:v>2746357.7500000005</c:v>
                </c:pt>
                <c:pt idx="13">
                  <c:v>2771523.382999999</c:v>
                </c:pt>
                <c:pt idx="14">
                  <c:v>2793822.4329999979</c:v>
                </c:pt>
                <c:pt idx="15">
                  <c:v>2813982.1060000011</c:v>
                </c:pt>
                <c:pt idx="16">
                  <c:v>2832482.1470000013</c:v>
                </c:pt>
                <c:pt idx="17">
                  <c:v>2850095.0259999987</c:v>
                </c:pt>
                <c:pt idx="18">
                  <c:v>2866599.5919999997</c:v>
                </c:pt>
                <c:pt idx="19">
                  <c:v>2882270.8779999982</c:v>
                </c:pt>
              </c:numCache>
            </c:numRef>
          </c:val>
        </c:ser>
        <c:marker val="1"/>
        <c:axId val="255058304"/>
        <c:axId val="255059840"/>
      </c:lineChart>
      <c:catAx>
        <c:axId val="255058304"/>
        <c:scaling>
          <c:orientation val="minMax"/>
        </c:scaling>
        <c:axPos val="b"/>
        <c:numFmt formatCode="General" sourceLinked="1"/>
        <c:tickLblPos val="nextTo"/>
        <c:crossAx val="255059840"/>
        <c:crosses val="autoZero"/>
        <c:auto val="1"/>
        <c:lblAlgn val="ctr"/>
        <c:lblOffset val="100"/>
      </c:catAx>
      <c:valAx>
        <c:axId val="255059840"/>
        <c:scaling>
          <c:orientation val="minMax"/>
          <c:max val="3000000"/>
          <c:min val="0"/>
        </c:scaling>
        <c:axPos val="l"/>
        <c:majorGridlines>
          <c:spPr>
            <a:ln>
              <a:solidFill>
                <a:schemeClr val="bg2">
                  <a:lumMod val="95000"/>
                </a:schemeClr>
              </a:solidFill>
            </a:ln>
          </c:spPr>
        </c:majorGridlines>
        <c:title>
          <c:tx>
            <c:rich>
              <a:bodyPr/>
              <a:lstStyle/>
              <a:p>
                <a:pPr>
                  <a:defRPr/>
                </a:pPr>
                <a:r>
                  <a:rPr lang="nb-NO"/>
                  <a:t>Antall</a:t>
                </a:r>
                <a:r>
                  <a:rPr lang="nb-NO" baseline="0"/>
                  <a:t> arbeidsplasser i Nroge, linje</a:t>
                </a:r>
                <a:endParaRPr lang="nb-NO"/>
              </a:p>
            </c:rich>
          </c:tx>
        </c:title>
        <c:numFmt formatCode="0" sourceLinked="1"/>
        <c:tickLblPos val="nextTo"/>
        <c:txPr>
          <a:bodyPr/>
          <a:lstStyle/>
          <a:p>
            <a:pPr>
              <a:defRPr sz="600"/>
            </a:pPr>
            <a:endParaRPr lang="nb-NO"/>
          </a:p>
        </c:txPr>
        <c:crossAx val="255058304"/>
        <c:crosses val="autoZero"/>
        <c:crossBetween val="between"/>
      </c:valAx>
      <c:valAx>
        <c:axId val="255078400"/>
        <c:scaling>
          <c:orientation val="minMax"/>
        </c:scaling>
        <c:axPos val="r"/>
        <c:title>
          <c:tx>
            <c:rich>
              <a:bodyPr/>
              <a:lstStyle/>
              <a:p>
                <a:pPr>
                  <a:defRPr/>
                </a:pPr>
                <a:r>
                  <a:rPr lang="nb-NO"/>
                  <a:t>Årlig</a:t>
                </a:r>
                <a:r>
                  <a:rPr lang="nb-NO" baseline="0"/>
                  <a:t> vekst i antall arbeidsplasser</a:t>
                </a:r>
                <a:endParaRPr lang="nb-NO"/>
              </a:p>
            </c:rich>
          </c:tx>
        </c:title>
        <c:numFmt formatCode="0.0" sourceLinked="1"/>
        <c:tickLblPos val="nextTo"/>
        <c:crossAx val="255080320"/>
        <c:crosses val="max"/>
        <c:crossBetween val="between"/>
      </c:valAx>
      <c:catAx>
        <c:axId val="255080320"/>
        <c:scaling>
          <c:orientation val="minMax"/>
        </c:scaling>
        <c:delete val="1"/>
        <c:axPos val="b"/>
        <c:numFmt formatCode="General" sourceLinked="1"/>
        <c:tickLblPos val="none"/>
        <c:crossAx val="255078400"/>
        <c:crosses val="autoZero"/>
        <c:auto val="1"/>
        <c:lblAlgn val="ctr"/>
        <c:lblOffset val="100"/>
      </c:catAx>
    </c:plotArea>
    <c:plotVisOnly val="1"/>
    <c:dispBlanksAs val="gap"/>
  </c:chart>
  <c:spPr>
    <a:ln>
      <a:noFill/>
    </a:ln>
  </c:spPr>
  <c:txPr>
    <a:bodyPr/>
    <a:lstStyle/>
    <a:p>
      <a:pPr>
        <a:defRPr sz="800">
          <a:latin typeface="Arial" panose="020B0604020202020204" pitchFamily="34" charset="0"/>
          <a:cs typeface="Arial" panose="020B0604020202020204" pitchFamily="34" charset="0"/>
        </a:defRPr>
      </a:pPr>
      <a:endParaRPr lang="nb-NO"/>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nb-NO"/>
  <c:chart>
    <c:autoTitleDeleted val="1"/>
    <c:plotArea>
      <c:layout>
        <c:manualLayout>
          <c:layoutTarget val="inner"/>
          <c:xMode val="edge"/>
          <c:yMode val="edge"/>
          <c:x val="0.54912272329595158"/>
          <c:y val="3.7931034482758641E-2"/>
          <c:w val="0.39966531456295246"/>
          <c:h val="0.90944257398859651"/>
        </c:manualLayout>
      </c:layout>
      <c:barChart>
        <c:barDir val="bar"/>
        <c:grouping val="clustered"/>
        <c:ser>
          <c:idx val="2"/>
          <c:order val="0"/>
          <c:spPr>
            <a:solidFill>
              <a:schemeClr val="accent1"/>
            </a:solidFill>
            <a:ln>
              <a:noFill/>
            </a:ln>
            <a:effectLst/>
          </c:spPr>
          <c:dPt>
            <c:idx val="0"/>
            <c:spPr>
              <a:solidFill>
                <a:srgbClr val="C00000"/>
              </a:solidFill>
              <a:ln>
                <a:noFill/>
              </a:ln>
              <a:effectLst/>
            </c:spPr>
          </c:dPt>
          <c:dPt>
            <c:idx val="1"/>
            <c:spPr>
              <a:solidFill>
                <a:srgbClr val="C00000"/>
              </a:solidFill>
              <a:ln>
                <a:noFill/>
              </a:ln>
              <a:effectLst/>
            </c:spPr>
          </c:dPt>
          <c:dPt>
            <c:idx val="2"/>
            <c:spPr>
              <a:solidFill>
                <a:srgbClr val="C00000"/>
              </a:solidFill>
              <a:ln>
                <a:noFill/>
              </a:ln>
              <a:effectLst/>
            </c:spPr>
          </c:dPt>
          <c:dPt>
            <c:idx val="3"/>
            <c:spPr>
              <a:solidFill>
                <a:srgbClr val="C00000"/>
              </a:solidFill>
              <a:ln>
                <a:noFill/>
              </a:ln>
              <a:effectLst/>
            </c:spPr>
          </c:dPt>
          <c:dPt>
            <c:idx val="5"/>
            <c:spPr>
              <a:solidFill>
                <a:srgbClr val="FF0000"/>
              </a:solidFill>
              <a:ln>
                <a:noFill/>
              </a:ln>
              <a:effectLst/>
            </c:spPr>
          </c:dPt>
          <c:dPt>
            <c:idx val="6"/>
            <c:spPr>
              <a:solidFill>
                <a:srgbClr val="FF0000"/>
              </a:solidFill>
              <a:ln>
                <a:noFill/>
              </a:ln>
              <a:effectLst/>
            </c:spPr>
          </c:dPt>
          <c:dPt>
            <c:idx val="7"/>
            <c:spPr>
              <a:solidFill>
                <a:srgbClr val="FF0000"/>
              </a:solidFill>
              <a:ln>
                <a:noFill/>
              </a:ln>
              <a:effectLst/>
            </c:spPr>
          </c:dPt>
          <c:dPt>
            <c:idx val="8"/>
            <c:spPr>
              <a:solidFill>
                <a:srgbClr val="C00000"/>
              </a:solidFill>
              <a:ln>
                <a:noFill/>
              </a:ln>
              <a:effectLst/>
            </c:spPr>
          </c:dPt>
          <c:dPt>
            <c:idx val="9"/>
            <c:spPr>
              <a:solidFill>
                <a:srgbClr val="C00000"/>
              </a:solidFill>
              <a:ln>
                <a:noFill/>
              </a:ln>
              <a:effectLst/>
            </c:spPr>
          </c:dPt>
          <c:dPt>
            <c:idx val="10"/>
            <c:spPr>
              <a:solidFill>
                <a:srgbClr val="C00000"/>
              </a:solidFill>
              <a:ln>
                <a:noFill/>
              </a:ln>
              <a:effectLst/>
            </c:spPr>
          </c:dPt>
          <c:dPt>
            <c:idx val="11"/>
            <c:spPr>
              <a:solidFill>
                <a:srgbClr val="92D050"/>
              </a:solidFill>
              <a:ln>
                <a:noFill/>
              </a:ln>
              <a:effectLst/>
            </c:spPr>
          </c:dPt>
          <c:dPt>
            <c:idx val="12"/>
            <c:spPr>
              <a:solidFill>
                <a:srgbClr val="92D050"/>
              </a:solidFill>
              <a:ln>
                <a:noFill/>
              </a:ln>
              <a:effectLst/>
            </c:spPr>
          </c:dPt>
          <c:dPt>
            <c:idx val="13"/>
            <c:spPr>
              <a:solidFill>
                <a:srgbClr val="92D050"/>
              </a:solidFill>
              <a:ln>
                <a:noFill/>
              </a:ln>
              <a:effectLst/>
            </c:spPr>
          </c:dPt>
          <c:dPt>
            <c:idx val="14"/>
            <c:spPr>
              <a:solidFill>
                <a:srgbClr val="92D050"/>
              </a:solidFill>
              <a:ln>
                <a:noFill/>
              </a:ln>
              <a:effectLst/>
            </c:spPr>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'Ark3'!$A$2:$C$24</c:f>
              <c:multiLvlStrCache>
                <c:ptCount val="23"/>
                <c:lvl>
                  <c:pt idx="0">
                    <c:v>Anna industri</c:v>
                  </c:pt>
                  <c:pt idx="1">
                    <c:v>Næringsmidler</c:v>
                  </c:pt>
                  <c:pt idx="2">
                    <c:v>Olje og gass utvinning</c:v>
                  </c:pt>
                  <c:pt idx="3">
                    <c:v>Prosessindustri</c:v>
                  </c:pt>
                  <c:pt idx="4">
                    <c:v>Verkstedindustri</c:v>
                  </c:pt>
                  <c:pt idx="5">
                    <c:v>Fisk</c:v>
                  </c:pt>
                  <c:pt idx="6">
                    <c:v>Gruve</c:v>
                  </c:pt>
                  <c:pt idx="7">
                    <c:v>Landbruk</c:v>
                  </c:pt>
                  <c:pt idx="8">
                    <c:v>Olje og gass</c:v>
                  </c:pt>
                  <c:pt idx="9">
                    <c:v>Teknisk/vitenskap</c:v>
                  </c:pt>
                  <c:pt idx="10">
                    <c:v>Tele og IKT</c:v>
                  </c:pt>
                  <c:pt idx="11">
                    <c:v>Aktivitet</c:v>
                  </c:pt>
                  <c:pt idx="12">
                    <c:v>Handel</c:v>
                  </c:pt>
                  <c:pt idx="13">
                    <c:v>Overnatting</c:v>
                  </c:pt>
                  <c:pt idx="14">
                    <c:v>Servering</c:v>
                  </c:pt>
                  <c:pt idx="15">
                    <c:v>Lokal</c:v>
                  </c:pt>
                  <c:pt idx="16">
                    <c:v>Agentur og Engros</c:v>
                  </c:pt>
                  <c:pt idx="17">
                    <c:v>Bygg og anlegg</c:v>
                  </c:pt>
                  <c:pt idx="18">
                    <c:v>Diverse</c:v>
                  </c:pt>
                  <c:pt idx="19">
                    <c:v>Finans, eiendom, uteie</c:v>
                  </c:pt>
                  <c:pt idx="20">
                    <c:v>Forr tjenesteyting</c:v>
                  </c:pt>
                  <c:pt idx="21">
                    <c:v>Transport</c:v>
                  </c:pt>
                  <c:pt idx="22">
                    <c:v>Utleie av arbeidskraft</c:v>
                  </c:pt>
                </c:lvl>
                <c:lvl>
                  <c:pt idx="0">
                    <c:v>Industri</c:v>
                  </c:pt>
                  <c:pt idx="5">
                    <c:v>Natur</c:v>
                  </c:pt>
                  <c:pt idx="8">
                    <c:v>Tekn tjenester</c:v>
                  </c:pt>
                </c:lvl>
                <c:lvl>
                  <c:pt idx="0">
                    <c:v>Basis</c:v>
                  </c:pt>
                  <c:pt idx="11">
                    <c:v>Besøk</c:v>
                  </c:pt>
                  <c:pt idx="15">
                    <c:v> </c:v>
                  </c:pt>
                  <c:pt idx="16">
                    <c:v>Regional</c:v>
                  </c:pt>
                </c:lvl>
              </c:multiLvlStrCache>
            </c:multiLvlStrRef>
          </c:cat>
          <c:val>
            <c:numRef>
              <c:f>'Ark3'!$S$2:$S$24</c:f>
              <c:numCache>
                <c:formatCode>0.0</c:formatCode>
                <c:ptCount val="23"/>
                <c:pt idx="0">
                  <c:v>-26.124019750217833</c:v>
                </c:pt>
                <c:pt idx="1">
                  <c:v>-13.339761570827489</c:v>
                </c:pt>
                <c:pt idx="2">
                  <c:v>62.921417947446706</c:v>
                </c:pt>
                <c:pt idx="3">
                  <c:v>-33.297936893203882</c:v>
                </c:pt>
                <c:pt idx="4">
                  <c:v>-0.53805464163016015</c:v>
                </c:pt>
                <c:pt idx="5">
                  <c:v>-20.700791215888906</c:v>
                </c:pt>
                <c:pt idx="6">
                  <c:v>10.169897104570468</c:v>
                </c:pt>
                <c:pt idx="7">
                  <c:v>-29.114315326290544</c:v>
                </c:pt>
                <c:pt idx="8">
                  <c:v>186.61006976548705</c:v>
                </c:pt>
                <c:pt idx="9">
                  <c:v>67.228319345814498</c:v>
                </c:pt>
                <c:pt idx="10">
                  <c:v>36.534032077425351</c:v>
                </c:pt>
                <c:pt idx="11">
                  <c:v>32.963163055005296</c:v>
                </c:pt>
                <c:pt idx="12">
                  <c:v>12.877955423694669</c:v>
                </c:pt>
                <c:pt idx="13">
                  <c:v>-3.9253695178095471</c:v>
                </c:pt>
                <c:pt idx="14">
                  <c:v>16.407301160163488</c:v>
                </c:pt>
                <c:pt idx="15">
                  <c:v>20.196740471397955</c:v>
                </c:pt>
                <c:pt idx="16">
                  <c:v>3.9990675749177647</c:v>
                </c:pt>
                <c:pt idx="17">
                  <c:v>41.988603833256072</c:v>
                </c:pt>
                <c:pt idx="18">
                  <c:v>20.719843636875794</c:v>
                </c:pt>
                <c:pt idx="19">
                  <c:v>10.51854020816142</c:v>
                </c:pt>
                <c:pt idx="20">
                  <c:v>49.052680712027652</c:v>
                </c:pt>
                <c:pt idx="21">
                  <c:v>-12.683873770962833</c:v>
                </c:pt>
                <c:pt idx="22">
                  <c:v>42.114321949451956</c:v>
                </c:pt>
              </c:numCache>
            </c:numRef>
          </c:val>
        </c:ser>
        <c:gapWidth val="30"/>
        <c:axId val="255360000"/>
        <c:axId val="255361792"/>
        <c:extLst>
          <c:ext xmlns:c15="http://schemas.microsoft.com/office/drawing/2012/chart" uri="{02D57815-91ED-43cb-92C2-25804820EDAC}">
            <c15:filteredBarSeries>
              <c15:ser>
                <c:idx val="0"/>
                <c:order val="0"/>
                <c:spPr>
                  <a:solidFill>
                    <a:schemeClr val="accent1"/>
                  </a:solidFill>
                  <a:ln>
                    <a:noFill/>
                  </a:ln>
                  <a:effectLst/>
                </c:spPr>
                <c:invertIfNegative val="0"/>
                <c:cat>
                  <c:multiLvlStrRef>
                    <c:extLst>
                      <c:ext uri="{02D57815-91ED-43cb-92C2-25804820EDAC}">
                        <c15:formulaRef>
                          <c15:sqref>'Ark3'!$A$2:$C$24</c15:sqref>
                        </c15:formulaRef>
                      </c:ext>
                    </c:extLst>
                    <c:multiLvlStrCache>
                      <c:ptCount val="23"/>
                      <c:lvl>
                        <c:pt idx="0">
                          <c:v>Anna industri</c:v>
                        </c:pt>
                        <c:pt idx="1">
                          <c:v>Næringsmidler</c:v>
                        </c:pt>
                        <c:pt idx="2">
                          <c:v>Olje og gass utvinning</c:v>
                        </c:pt>
                        <c:pt idx="3">
                          <c:v>Prosessindustri</c:v>
                        </c:pt>
                        <c:pt idx="4">
                          <c:v>Verkstedindustri</c:v>
                        </c:pt>
                        <c:pt idx="5">
                          <c:v>Fisk</c:v>
                        </c:pt>
                        <c:pt idx="6">
                          <c:v>Gruve</c:v>
                        </c:pt>
                        <c:pt idx="7">
                          <c:v>Landbruk</c:v>
                        </c:pt>
                        <c:pt idx="8">
                          <c:v>Olje og gass</c:v>
                        </c:pt>
                        <c:pt idx="9">
                          <c:v>Teknisk/vitenskap</c:v>
                        </c:pt>
                        <c:pt idx="10">
                          <c:v>Tele og IKT</c:v>
                        </c:pt>
                        <c:pt idx="11">
                          <c:v>Aktivitet</c:v>
                        </c:pt>
                        <c:pt idx="12">
                          <c:v>Handel</c:v>
                        </c:pt>
                        <c:pt idx="13">
                          <c:v>Overnatting</c:v>
                        </c:pt>
                        <c:pt idx="14">
                          <c:v>Servering</c:v>
                        </c:pt>
                        <c:pt idx="15">
                          <c:v>Lokal</c:v>
                        </c:pt>
                        <c:pt idx="16">
                          <c:v>Agentur og Engros</c:v>
                        </c:pt>
                        <c:pt idx="17">
                          <c:v>Bygg og anlegg</c:v>
                        </c:pt>
                        <c:pt idx="18">
                          <c:v>Diverse</c:v>
                        </c:pt>
                        <c:pt idx="19">
                          <c:v>Finans, eiendom, uteie</c:v>
                        </c:pt>
                        <c:pt idx="20">
                          <c:v>Forr tjenesteyting</c:v>
                        </c:pt>
                        <c:pt idx="21">
                          <c:v>Transport</c:v>
                        </c:pt>
                        <c:pt idx="22">
                          <c:v>Utleie av arbeidskraft</c:v>
                        </c:pt>
                      </c:lvl>
                      <c:lvl>
                        <c:pt idx="0">
                          <c:v>Industri</c:v>
                        </c:pt>
                        <c:pt idx="5">
                          <c:v>Natur</c:v>
                        </c:pt>
                        <c:pt idx="8">
                          <c:v>Tekn tjenester</c:v>
                        </c:pt>
                      </c:lvl>
                      <c:lvl>
                        <c:pt idx="0">
                          <c:v>Basis</c:v>
                        </c:pt>
                        <c:pt idx="11">
                          <c:v>Besøk</c:v>
                        </c:pt>
                        <c:pt idx="15">
                          <c:v> </c:v>
                        </c:pt>
                        <c:pt idx="16">
                          <c:v>Regional</c:v>
                        </c:pt>
                      </c:lvl>
                    </c:multiLvlStrCache>
                  </c:multiLvlStrRef>
                </c:cat>
                <c:val>
                  <c:numRef>
                    <c:extLst>
                      <c:ext uri="{02D57815-91ED-43cb-92C2-25804820EDAC}">
                        <c15:formulaRef>
                          <c15:sqref>'Ark3'!$B$2:$B$25</c15:sqref>
                        </c15:formulaRef>
                      </c:ext>
                    </c:extLst>
                    <c:numCache>
                      <c:formatCode>General</c:formatCode>
                      <c:ptCount val="24"/>
                      <c:pt idx="0">
                        <c:v>0</c:v>
                      </c:pt>
                      <c:pt idx="5">
                        <c:v>0</c:v>
                      </c:pt>
                      <c:pt idx="8">
                        <c:v>0</c:v>
                      </c:pt>
                    </c:numCache>
                  </c:numRef>
                </c:val>
              </c15:ser>
            </c15:filteredBarSeries>
            <c15:filteredBarSeries>
              <c15:ser>
                <c:idx val="1"/>
                <c:order val="1"/>
                <c:spPr>
                  <a:solidFill>
                    <a:schemeClr val="accent2"/>
                  </a:solidFill>
                  <a:ln>
                    <a:noFill/>
                  </a:ln>
                  <a:effectLst/>
                </c:spPr>
                <c:invertIfNegative val="0"/>
                <c:cat>
                  <c:multiLvlStrRef>
                    <c:extLst xmlns:c15="http://schemas.microsoft.com/office/drawing/2012/chart">
                      <c:ext xmlns:c15="http://schemas.microsoft.com/office/drawing/2012/chart" uri="{02D57815-91ED-43cb-92C2-25804820EDAC}">
                        <c15:formulaRef>
                          <c15:sqref>'Ark3'!$A$2:$C$24</c15:sqref>
                        </c15:formulaRef>
                      </c:ext>
                    </c:extLst>
                    <c:multiLvlStrCache>
                      <c:ptCount val="23"/>
                      <c:lvl>
                        <c:pt idx="0">
                          <c:v>Anna industri</c:v>
                        </c:pt>
                        <c:pt idx="1">
                          <c:v>Næringsmidler</c:v>
                        </c:pt>
                        <c:pt idx="2">
                          <c:v>Olje og gass utvinning</c:v>
                        </c:pt>
                        <c:pt idx="3">
                          <c:v>Prosessindustri</c:v>
                        </c:pt>
                        <c:pt idx="4">
                          <c:v>Verkstedindustri</c:v>
                        </c:pt>
                        <c:pt idx="5">
                          <c:v>Fisk</c:v>
                        </c:pt>
                        <c:pt idx="6">
                          <c:v>Gruve</c:v>
                        </c:pt>
                        <c:pt idx="7">
                          <c:v>Landbruk</c:v>
                        </c:pt>
                        <c:pt idx="8">
                          <c:v>Olje og gass</c:v>
                        </c:pt>
                        <c:pt idx="9">
                          <c:v>Teknisk/vitenskap</c:v>
                        </c:pt>
                        <c:pt idx="10">
                          <c:v>Tele og IKT</c:v>
                        </c:pt>
                        <c:pt idx="11">
                          <c:v>Aktivitet</c:v>
                        </c:pt>
                        <c:pt idx="12">
                          <c:v>Handel</c:v>
                        </c:pt>
                        <c:pt idx="13">
                          <c:v>Overnatting</c:v>
                        </c:pt>
                        <c:pt idx="14">
                          <c:v>Servering</c:v>
                        </c:pt>
                        <c:pt idx="15">
                          <c:v>Lokal</c:v>
                        </c:pt>
                        <c:pt idx="16">
                          <c:v>Agentur og Engros</c:v>
                        </c:pt>
                        <c:pt idx="17">
                          <c:v>Bygg og anlegg</c:v>
                        </c:pt>
                        <c:pt idx="18">
                          <c:v>Diverse</c:v>
                        </c:pt>
                        <c:pt idx="19">
                          <c:v>Finans, eiendom, uteie</c:v>
                        </c:pt>
                        <c:pt idx="20">
                          <c:v>Forr tjenesteyting</c:v>
                        </c:pt>
                        <c:pt idx="21">
                          <c:v>Transport</c:v>
                        </c:pt>
                        <c:pt idx="22">
                          <c:v>Utleie av arbeidskraft</c:v>
                        </c:pt>
                      </c:lvl>
                      <c:lvl>
                        <c:pt idx="0">
                          <c:v>Industri</c:v>
                        </c:pt>
                        <c:pt idx="5">
                          <c:v>Natur</c:v>
                        </c:pt>
                        <c:pt idx="8">
                          <c:v>Tekn tjenester</c:v>
                        </c:pt>
                      </c:lvl>
                      <c:lvl>
                        <c:pt idx="0">
                          <c:v>Basis</c:v>
                        </c:pt>
                        <c:pt idx="11">
                          <c:v>Besøk</c:v>
                        </c:pt>
                        <c:pt idx="15">
                          <c:v> </c:v>
                        </c:pt>
                        <c:pt idx="16">
                          <c:v>Regional</c:v>
                        </c:pt>
                      </c:lvl>
                    </c:multiLvlStrCache>
                  </c:multiLvlStrRef>
                </c:cat>
                <c:val>
                  <c:numRef>
                    <c:extLst xmlns:c15="http://schemas.microsoft.com/office/drawing/2012/chart">
                      <c:ext xmlns:c15="http://schemas.microsoft.com/office/drawing/2012/chart" uri="{02D57815-91ED-43cb-92C2-25804820EDAC}">
                        <c15:formulaRef>
                          <c15:sqref>'Ark3'!$C$2:$C$25</c15:sqref>
                        </c15:formulaRef>
                      </c:ext>
                    </c:extLst>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numCache>
                  </c:numRef>
                </c:val>
              </c15:ser>
            </c15:filteredBarSeries>
          </c:ext>
        </c:extLst>
      </c:barChart>
      <c:catAx>
        <c:axId val="255360000"/>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5361792"/>
        <c:crosses val="autoZero"/>
        <c:auto val="1"/>
        <c:lblAlgn val="ctr"/>
        <c:lblOffset val="100"/>
      </c:catAx>
      <c:valAx>
        <c:axId val="255361792"/>
        <c:scaling>
          <c:orientation val="minMax"/>
          <c:max val="200"/>
          <c:min val="-100"/>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536000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plotArea>
      <c:layout>
        <c:manualLayout>
          <c:layoutTarget val="inner"/>
          <c:xMode val="edge"/>
          <c:yMode val="edge"/>
          <c:x val="8.8170264205933255E-2"/>
          <c:y val="5.7429830840522923E-2"/>
          <c:w val="0.73941474706965959"/>
          <c:h val="0.87020155973326296"/>
        </c:manualLayout>
      </c:layout>
      <c:lineChart>
        <c:grouping val="standard"/>
        <c:ser>
          <c:idx val="0"/>
          <c:order val="0"/>
          <c:tx>
            <c:v>Normalscenario</c:v>
          </c:tx>
          <c:spPr>
            <a:ln w="28575" cap="rnd">
              <a:solidFill>
                <a:srgbClr val="C00000"/>
              </a:solidFill>
              <a:round/>
            </a:ln>
            <a:effectLst/>
          </c:spPr>
          <c:marker>
            <c:symbol val="none"/>
          </c:marker>
          <c:dLbls>
            <c:dLbl>
              <c:idx val="27"/>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Kommune!$E$22:$AF$22</c:f>
              <c:strCach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strCache>
            </c:strRef>
          </c:cat>
          <c:val>
            <c:numRef>
              <c:f>Kommune!$E$74:$AF$74</c:f>
              <c:numCache>
                <c:formatCode>General</c:formatCode>
                <c:ptCount val="28"/>
                <c:pt idx="0" formatCode="#,##0">
                  <c:v>53339</c:v>
                </c:pt>
                <c:pt idx="1">
                  <c:v>53318</c:v>
                </c:pt>
                <c:pt idx="2" formatCode="0">
                  <c:v>53256.396672802148</c:v>
                </c:pt>
                <c:pt idx="3" formatCode="0">
                  <c:v>53163.972251896856</c:v>
                </c:pt>
                <c:pt idx="4" formatCode="0">
                  <c:v>53062.515437458642</c:v>
                </c:pt>
                <c:pt idx="5" formatCode="0">
                  <c:v>52953.884341015109</c:v>
                </c:pt>
                <c:pt idx="6" formatCode="0">
                  <c:v>52804.107585619204</c:v>
                </c:pt>
                <c:pt idx="7" formatCode="0">
                  <c:v>52643.655352186302</c:v>
                </c:pt>
                <c:pt idx="8" formatCode="0">
                  <c:v>52486.685666172605</c:v>
                </c:pt>
                <c:pt idx="9" formatCode="0">
                  <c:v>52326.001899977491</c:v>
                </c:pt>
                <c:pt idx="10" formatCode="0">
                  <c:v>52173.736485593763</c:v>
                </c:pt>
                <c:pt idx="11" formatCode="0">
                  <c:v>52015.964694494956</c:v>
                </c:pt>
                <c:pt idx="12" formatCode="0">
                  <c:v>51850.396965990665</c:v>
                </c:pt>
                <c:pt idx="13" formatCode="0">
                  <c:v>51689.965155239654</c:v>
                </c:pt>
                <c:pt idx="14" formatCode="0">
                  <c:v>51502.158315635192</c:v>
                </c:pt>
                <c:pt idx="15" formatCode="0">
                  <c:v>51318.278256000202</c:v>
                </c:pt>
                <c:pt idx="16" formatCode="0">
                  <c:v>51099.550942956666</c:v>
                </c:pt>
                <c:pt idx="17" formatCode="0">
                  <c:v>50875.947975600116</c:v>
                </c:pt>
                <c:pt idx="18" formatCode="0">
                  <c:v>50634.712061826234</c:v>
                </c:pt>
                <c:pt idx="19" formatCode="0">
                  <c:v>50382.855228232445</c:v>
                </c:pt>
                <c:pt idx="20" formatCode="0">
                  <c:v>50108.913134608592</c:v>
                </c:pt>
                <c:pt idx="21" formatCode="0">
                  <c:v>49808.873243908121</c:v>
                </c:pt>
                <c:pt idx="22" formatCode="0">
                  <c:v>49487.940052448794</c:v>
                </c:pt>
                <c:pt idx="23" formatCode="0">
                  <c:v>49140.806141311215</c:v>
                </c:pt>
                <c:pt idx="24" formatCode="0">
                  <c:v>48781.024848382753</c:v>
                </c:pt>
                <c:pt idx="25" formatCode="0">
                  <c:v>48393.044168225533</c:v>
                </c:pt>
                <c:pt idx="26" formatCode="0">
                  <c:v>48006.007193716003</c:v>
                </c:pt>
                <c:pt idx="27" formatCode="0">
                  <c:v>47593.211551548586</c:v>
                </c:pt>
              </c:numCache>
            </c:numRef>
          </c:val>
        </c:ser>
        <c:ser>
          <c:idx val="4"/>
          <c:order val="1"/>
          <c:tx>
            <c:v>MMMM</c:v>
          </c:tx>
          <c:spPr>
            <a:ln w="28575" cap="rnd">
              <a:solidFill>
                <a:schemeClr val="accent4"/>
              </a:solidFill>
              <a:round/>
            </a:ln>
            <a:effectLst/>
          </c:spPr>
          <c:marker>
            <c:symbol val="none"/>
          </c:marker>
          <c:dLbls>
            <c:dLbl>
              <c:idx val="27"/>
              <c:layout>
                <c:manualLayout>
                  <c:x val="0"/>
                  <c:y val="-5.5888223552894231E-2"/>
                </c:manualLayout>
              </c:layout>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Kommune!$E$12:$AF$12</c:f>
              <c:numCache>
                <c:formatCode>0.00</c:formatCode>
                <c:ptCount val="28"/>
                <c:pt idx="0" formatCode="#,##0">
                  <c:v>53339</c:v>
                </c:pt>
                <c:pt idx="1">
                  <c:v>53318</c:v>
                </c:pt>
                <c:pt idx="2">
                  <c:v>53412</c:v>
                </c:pt>
                <c:pt idx="3">
                  <c:v>53526</c:v>
                </c:pt>
                <c:pt idx="4">
                  <c:v>53660</c:v>
                </c:pt>
                <c:pt idx="5">
                  <c:v>53800</c:v>
                </c:pt>
                <c:pt idx="6">
                  <c:v>53938</c:v>
                </c:pt>
                <c:pt idx="7">
                  <c:v>54100</c:v>
                </c:pt>
                <c:pt idx="8">
                  <c:v>54265</c:v>
                </c:pt>
                <c:pt idx="9">
                  <c:v>54446</c:v>
                </c:pt>
                <c:pt idx="10">
                  <c:v>54642</c:v>
                </c:pt>
                <c:pt idx="11">
                  <c:v>54850</c:v>
                </c:pt>
                <c:pt idx="12">
                  <c:v>55056</c:v>
                </c:pt>
                <c:pt idx="13">
                  <c:v>55292</c:v>
                </c:pt>
                <c:pt idx="14">
                  <c:v>55512</c:v>
                </c:pt>
                <c:pt idx="15">
                  <c:v>55755</c:v>
                </c:pt>
                <c:pt idx="16">
                  <c:v>55964</c:v>
                </c:pt>
                <c:pt idx="17">
                  <c:v>56189</c:v>
                </c:pt>
                <c:pt idx="18">
                  <c:v>56395</c:v>
                </c:pt>
                <c:pt idx="19">
                  <c:v>56618</c:v>
                </c:pt>
                <c:pt idx="20">
                  <c:v>56804</c:v>
                </c:pt>
                <c:pt idx="21">
                  <c:v>56989</c:v>
                </c:pt>
                <c:pt idx="22">
                  <c:v>57188</c:v>
                </c:pt>
                <c:pt idx="23">
                  <c:v>57371</c:v>
                </c:pt>
                <c:pt idx="24">
                  <c:v>57533</c:v>
                </c:pt>
                <c:pt idx="25">
                  <c:v>57693</c:v>
                </c:pt>
                <c:pt idx="26">
                  <c:v>57850</c:v>
                </c:pt>
                <c:pt idx="27">
                  <c:v>58002</c:v>
                </c:pt>
              </c:numCache>
            </c:numRef>
          </c:val>
        </c:ser>
        <c:marker val="1"/>
        <c:axId val="256472192"/>
        <c:axId val="256473728"/>
      </c:lineChart>
      <c:catAx>
        <c:axId val="256472192"/>
        <c:scaling>
          <c:orientation val="minMax"/>
        </c:scaling>
        <c:axPos val="b"/>
        <c:numFmt formatCode="General" sourceLinked="1"/>
        <c:majorTickMark val="in"/>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473728"/>
        <c:crosses val="autoZero"/>
        <c:auto val="1"/>
        <c:lblAlgn val="ctr"/>
        <c:lblOffset val="100"/>
        <c:tickLblSkip val="1"/>
      </c:catAx>
      <c:valAx>
        <c:axId val="256473728"/>
        <c:scaling>
          <c:orientation val="minMax"/>
          <c:min val="4000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472192"/>
        <c:crosses val="autoZero"/>
        <c:crossBetween val="between"/>
      </c:valAx>
      <c:spPr>
        <a:noFill/>
        <a:ln w="25400">
          <a:noFill/>
        </a:ln>
        <a:effectLst/>
      </c:spPr>
    </c:plotArea>
    <c:legend>
      <c:legendPos val="t"/>
      <c:layout>
        <c:manualLayout>
          <c:xMode val="edge"/>
          <c:yMode val="edge"/>
          <c:x val="0.23644903082766844"/>
          <c:y val="0.5244122778065915"/>
          <c:w val="0.42476777359351825"/>
          <c:h val="0.1950225533185596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pivotSource>
    <c:name>[Kvartaldata v2kv2014 rv13.xlsm]Data for Sheet1 Chart 4!PivotTable3</c:name>
    <c:fmtId val="386"/>
  </c:pivotSource>
  <c:chart>
    <c:pivotFmts>
      <c:pivotFmt>
        <c:idx val="0"/>
        <c:marker>
          <c:symbol val="none"/>
        </c:marker>
      </c:pivotFmt>
      <c:pivotFmt>
        <c:idx val="1"/>
        <c:marker>
          <c:symbol val="none"/>
        </c:marker>
      </c:pivotFmt>
      <c:pivotFmt>
        <c:idx val="2"/>
        <c:marker>
          <c:symbol val="none"/>
        </c:marker>
      </c:pivotFmt>
      <c:pivotFmt>
        <c:idx val="3"/>
        <c:spPr>
          <a:solidFill>
            <a:srgbClr val="00B0F0"/>
          </a:solidFill>
        </c:spPr>
        <c:marker>
          <c:symbol val="none"/>
        </c:marker>
      </c:pivotFmt>
      <c:pivotFmt>
        <c:idx val="4"/>
        <c:spPr>
          <a:solidFill>
            <a:srgbClr val="FFC000"/>
          </a:solidFill>
        </c:spPr>
        <c:marker>
          <c:symbol val="none"/>
        </c:marker>
      </c:pivotFmt>
      <c:pivotFmt>
        <c:idx val="5"/>
        <c:marker>
          <c:symbol val="none"/>
        </c:marker>
      </c:pivotFmt>
      <c:pivotFmt>
        <c:idx val="6"/>
        <c:spPr>
          <a:solidFill>
            <a:srgbClr val="00B0F0"/>
          </a:solidFill>
        </c:spPr>
        <c:marker>
          <c:symbol val="none"/>
        </c:marker>
      </c:pivotFmt>
      <c:pivotFmt>
        <c:idx val="7"/>
        <c:spPr>
          <a:solidFill>
            <a:srgbClr val="FFC000"/>
          </a:solidFill>
        </c:spPr>
        <c:marker>
          <c:symbol val="none"/>
        </c:marker>
      </c:pivotFmt>
      <c:pivotFmt>
        <c:idx val="8"/>
        <c:marker>
          <c:symbol val="none"/>
        </c:marker>
      </c:pivotFmt>
      <c:pivotFmt>
        <c:idx val="9"/>
        <c:spPr>
          <a:solidFill>
            <a:srgbClr val="00B0F0"/>
          </a:solidFill>
        </c:spPr>
        <c:marker>
          <c:symbol val="none"/>
        </c:marker>
      </c:pivotFmt>
      <c:pivotFmt>
        <c:idx val="10"/>
        <c:spPr>
          <a:solidFill>
            <a:srgbClr val="FFC000"/>
          </a:solidFill>
        </c:spPr>
        <c:marker>
          <c:symbol val="none"/>
        </c:marker>
      </c:pivotFmt>
      <c:pivotFmt>
        <c:idx val="11"/>
        <c:marker>
          <c:symbol val="none"/>
        </c:marker>
      </c:pivotFmt>
    </c:pivotFmts>
    <c:plotArea>
      <c:layout>
        <c:manualLayout>
          <c:layoutTarget val="inner"/>
          <c:xMode val="edge"/>
          <c:yMode val="edge"/>
          <c:x val="6.5779876018946082E-2"/>
          <c:y val="0.12602601491924967"/>
          <c:w val="0.90555720954042429"/>
          <c:h val="0.78499882035328195"/>
        </c:manualLayout>
      </c:layout>
      <c:barChart>
        <c:barDir val="col"/>
        <c:grouping val="stacked"/>
        <c:ser>
          <c:idx val="0"/>
          <c:order val="0"/>
          <c:tx>
            <c:strRef>
              <c:f>'Data for Sheet1 Chart 4'!$B$1</c:f>
              <c:strCache>
                <c:ptCount val="1"/>
                <c:pt idx="0">
                  <c:v>Innenlands flytting</c:v>
                </c:pt>
              </c:strCache>
            </c:strRef>
          </c:tx>
          <c:spPr>
            <a:solidFill>
              <a:srgbClr val="00B0F0"/>
            </a:solidFill>
          </c:spPr>
          <c:cat>
            <c:strRef>
              <c:f>'Data for Sheet1 Chart 4'!$A$2:$A$61</c:f>
              <c:strCache>
                <c:ptCount val="59"/>
                <c:pt idx="0">
                  <c:v>2000K1</c:v>
                </c:pt>
                <c:pt idx="1">
                  <c:v>2000K2</c:v>
                </c:pt>
                <c:pt idx="2">
                  <c:v>2000K3</c:v>
                </c:pt>
                <c:pt idx="3">
                  <c:v>2000K4</c:v>
                </c:pt>
                <c:pt idx="4">
                  <c:v>2001K1</c:v>
                </c:pt>
                <c:pt idx="5">
                  <c:v>2001K2</c:v>
                </c:pt>
                <c:pt idx="6">
                  <c:v>2001K3</c:v>
                </c:pt>
                <c:pt idx="7">
                  <c:v>2001K4</c:v>
                </c:pt>
                <c:pt idx="8">
                  <c:v>2002K1</c:v>
                </c:pt>
                <c:pt idx="9">
                  <c:v>2002K2</c:v>
                </c:pt>
                <c:pt idx="10">
                  <c:v>2002K3</c:v>
                </c:pt>
                <c:pt idx="11">
                  <c:v>2002K4</c:v>
                </c:pt>
                <c:pt idx="12">
                  <c:v>2003K1</c:v>
                </c:pt>
                <c:pt idx="13">
                  <c:v>2003K2</c:v>
                </c:pt>
                <c:pt idx="14">
                  <c:v>2003K3</c:v>
                </c:pt>
                <c:pt idx="15">
                  <c:v>2003K4</c:v>
                </c:pt>
                <c:pt idx="16">
                  <c:v>2004K1</c:v>
                </c:pt>
                <c:pt idx="17">
                  <c:v>2004K2</c:v>
                </c:pt>
                <c:pt idx="18">
                  <c:v>2004K3</c:v>
                </c:pt>
                <c:pt idx="19">
                  <c:v>2004K4</c:v>
                </c:pt>
                <c:pt idx="20">
                  <c:v>2005K1</c:v>
                </c:pt>
                <c:pt idx="21">
                  <c:v>2005K2</c:v>
                </c:pt>
                <c:pt idx="22">
                  <c:v>2005K3</c:v>
                </c:pt>
                <c:pt idx="23">
                  <c:v>2005K4</c:v>
                </c:pt>
                <c:pt idx="24">
                  <c:v>2006K1</c:v>
                </c:pt>
                <c:pt idx="25">
                  <c:v>2006K2</c:v>
                </c:pt>
                <c:pt idx="26">
                  <c:v>2006K3</c:v>
                </c:pt>
                <c:pt idx="27">
                  <c:v>2006K4</c:v>
                </c:pt>
                <c:pt idx="28">
                  <c:v>2007K1</c:v>
                </c:pt>
                <c:pt idx="29">
                  <c:v>2007K2</c:v>
                </c:pt>
                <c:pt idx="30">
                  <c:v>2007K3</c:v>
                </c:pt>
                <c:pt idx="31">
                  <c:v>2007K4</c:v>
                </c:pt>
                <c:pt idx="32">
                  <c:v>2008K1</c:v>
                </c:pt>
                <c:pt idx="33">
                  <c:v>2008K2</c:v>
                </c:pt>
                <c:pt idx="34">
                  <c:v>2008K3</c:v>
                </c:pt>
                <c:pt idx="35">
                  <c:v>2008K4</c:v>
                </c:pt>
                <c:pt idx="36">
                  <c:v>2009K1</c:v>
                </c:pt>
                <c:pt idx="37">
                  <c:v>2009K2</c:v>
                </c:pt>
                <c:pt idx="38">
                  <c:v>2009K3</c:v>
                </c:pt>
                <c:pt idx="39">
                  <c:v>2009K4</c:v>
                </c:pt>
                <c:pt idx="40">
                  <c:v>2010K1</c:v>
                </c:pt>
                <c:pt idx="41">
                  <c:v>2010K2</c:v>
                </c:pt>
                <c:pt idx="42">
                  <c:v>2010K3</c:v>
                </c:pt>
                <c:pt idx="43">
                  <c:v>2010K4</c:v>
                </c:pt>
                <c:pt idx="44">
                  <c:v>2011K1</c:v>
                </c:pt>
                <c:pt idx="45">
                  <c:v>2011K2</c:v>
                </c:pt>
                <c:pt idx="46">
                  <c:v>2011K3</c:v>
                </c:pt>
                <c:pt idx="47">
                  <c:v>2011K4</c:v>
                </c:pt>
                <c:pt idx="48">
                  <c:v>2012K1</c:v>
                </c:pt>
                <c:pt idx="49">
                  <c:v>2012K2</c:v>
                </c:pt>
                <c:pt idx="50">
                  <c:v>2012K3</c:v>
                </c:pt>
                <c:pt idx="51">
                  <c:v>2012K4</c:v>
                </c:pt>
                <c:pt idx="52">
                  <c:v>2013K1</c:v>
                </c:pt>
                <c:pt idx="53">
                  <c:v>2013K2</c:v>
                </c:pt>
                <c:pt idx="54">
                  <c:v>2013K3</c:v>
                </c:pt>
                <c:pt idx="55">
                  <c:v>2013K4</c:v>
                </c:pt>
                <c:pt idx="56">
                  <c:v>2014K1</c:v>
                </c:pt>
                <c:pt idx="57">
                  <c:v>2014K2</c:v>
                </c:pt>
                <c:pt idx="58">
                  <c:v>2014K3</c:v>
                </c:pt>
              </c:strCache>
            </c:strRef>
          </c:cat>
          <c:val>
            <c:numRef>
              <c:f>'Data for Sheet1 Chart 4'!$B$2:$B$61</c:f>
              <c:numCache>
                <c:formatCode>General</c:formatCode>
                <c:ptCount val="59"/>
                <c:pt idx="0">
                  <c:v>0.14917580368464228</c:v>
                </c:pt>
                <c:pt idx="1">
                  <c:v>7.6348671346902319E-2</c:v>
                </c:pt>
                <c:pt idx="2">
                  <c:v>0.27706497080590592</c:v>
                </c:pt>
                <c:pt idx="3">
                  <c:v>0.27316819355917726</c:v>
                </c:pt>
                <c:pt idx="4">
                  <c:v>0.39614640678470486</c:v>
                </c:pt>
                <c:pt idx="5">
                  <c:v>0.30290641492603881</c:v>
                </c:pt>
                <c:pt idx="6">
                  <c:v>7.9709338968598276E-2</c:v>
                </c:pt>
                <c:pt idx="7">
                  <c:v>0.18726244553629387</c:v>
                </c:pt>
                <c:pt idx="8">
                  <c:v>0.11321875348008466</c:v>
                </c:pt>
                <c:pt idx="9">
                  <c:v>0.19704067216893451</c:v>
                </c:pt>
                <c:pt idx="10">
                  <c:v>6.8810325268267275E-2</c:v>
                </c:pt>
                <c:pt idx="11">
                  <c:v>0.10034004125090587</c:v>
                </c:pt>
                <c:pt idx="12">
                  <c:v>0.17132854110022724</c:v>
                </c:pt>
                <c:pt idx="13">
                  <c:v>0.26817140622381136</c:v>
                </c:pt>
                <c:pt idx="14">
                  <c:v>0.26861662438442041</c:v>
                </c:pt>
                <c:pt idx="15">
                  <c:v>4.8423444396848779E-2</c:v>
                </c:pt>
                <c:pt idx="16">
                  <c:v>1.4903129657228028E-2</c:v>
                </c:pt>
                <c:pt idx="17">
                  <c:v>-0.10054555272124679</c:v>
                </c:pt>
                <c:pt idx="18">
                  <c:v>-6.1468539283984665E-2</c:v>
                </c:pt>
                <c:pt idx="19">
                  <c:v>-8.7676752602320634E-2</c:v>
                </c:pt>
                <c:pt idx="20">
                  <c:v>-0.19042640579493691</c:v>
                </c:pt>
                <c:pt idx="21">
                  <c:v>-7.8432837214513842E-2</c:v>
                </c:pt>
                <c:pt idx="22">
                  <c:v>-0.12902501963424212</c:v>
                </c:pt>
                <c:pt idx="23">
                  <c:v>-0.132829454463818</c:v>
                </c:pt>
                <c:pt idx="24">
                  <c:v>-0.15561430151677083</c:v>
                </c:pt>
                <c:pt idx="25">
                  <c:v>-0.12184606156037944</c:v>
                </c:pt>
                <c:pt idx="26">
                  <c:v>-0.11072534484376466</c:v>
                </c:pt>
                <c:pt idx="27">
                  <c:v>-6.386055859206248E-2</c:v>
                </c:pt>
                <c:pt idx="28">
                  <c:v>6.208492465147783E-2</c:v>
                </c:pt>
                <c:pt idx="29">
                  <c:v>-0.10340289528106787</c:v>
                </c:pt>
                <c:pt idx="30">
                  <c:v>0.11863289709066943</c:v>
                </c:pt>
                <c:pt idx="31">
                  <c:v>0.24687635452198337</c:v>
                </c:pt>
                <c:pt idx="32">
                  <c:v>0.20741802274055776</c:v>
                </c:pt>
                <c:pt idx="33">
                  <c:v>0.30369909267538153</c:v>
                </c:pt>
                <c:pt idx="34">
                  <c:v>0.21845985800109241</c:v>
                </c:pt>
                <c:pt idx="35">
                  <c:v>0.13354901813257097</c:v>
                </c:pt>
                <c:pt idx="36">
                  <c:v>5.4532804302450236E-2</c:v>
                </c:pt>
                <c:pt idx="37">
                  <c:v>6.0163946754907119E-2</c:v>
                </c:pt>
                <c:pt idx="38">
                  <c:v>-5.6376141616867742E-3</c:v>
                </c:pt>
                <c:pt idx="39">
                  <c:v>-5.8301361618897173E-2</c:v>
                </c:pt>
                <c:pt idx="40">
                  <c:v>7.5372149990578499E-3</c:v>
                </c:pt>
                <c:pt idx="41">
                  <c:v>-5.2676135829178822E-2</c:v>
                </c:pt>
                <c:pt idx="42">
                  <c:v>-8.4619868745181417E-2</c:v>
                </c:pt>
                <c:pt idx="43">
                  <c:v>1.8808305747818252E-3</c:v>
                </c:pt>
                <c:pt idx="44">
                  <c:v>-3.9496699204423641E-2</c:v>
                </c:pt>
                <c:pt idx="45">
                  <c:v>3.0103480714957671E-2</c:v>
                </c:pt>
                <c:pt idx="46">
                  <c:v>-2.8220951234196261E-2</c:v>
                </c:pt>
                <c:pt idx="47">
                  <c:v>-0.15794817795494726</c:v>
                </c:pt>
                <c:pt idx="48">
                  <c:v>-0.15980147017352564</c:v>
                </c:pt>
                <c:pt idx="49">
                  <c:v>-0.13330079041736295</c:v>
                </c:pt>
                <c:pt idx="50">
                  <c:v>-1.6890940825403974E-2</c:v>
                </c:pt>
                <c:pt idx="51">
                  <c:v>9.3873796068565427E-2</c:v>
                </c:pt>
                <c:pt idx="52">
                  <c:v>0.21420921099607293</c:v>
                </c:pt>
                <c:pt idx="53">
                  <c:v>9.3884372007435699E-2</c:v>
                </c:pt>
                <c:pt idx="54">
                  <c:v>9.3815670969678768E-3</c:v>
                </c:pt>
                <c:pt idx="55">
                  <c:v>-6.5618028084516014E-2</c:v>
                </c:pt>
                <c:pt idx="56">
                  <c:v>-0.1931370710669417</c:v>
                </c:pt>
                <c:pt idx="57">
                  <c:v>-0.24945607322379773</c:v>
                </c:pt>
                <c:pt idx="58">
                  <c:v>-0.31524431434361638</c:v>
                </c:pt>
              </c:numCache>
            </c:numRef>
          </c:val>
        </c:ser>
        <c:ser>
          <c:idx val="1"/>
          <c:order val="1"/>
          <c:tx>
            <c:strRef>
              <c:f>'Data for Sheet1 Chart 4'!$C$1</c:f>
              <c:strCache>
                <c:ptCount val="1"/>
                <c:pt idx="0">
                  <c:v>Innvandring, relativ</c:v>
                </c:pt>
              </c:strCache>
            </c:strRef>
          </c:tx>
          <c:spPr>
            <a:solidFill>
              <a:srgbClr val="FFC000"/>
            </a:solidFill>
          </c:spPr>
          <c:cat>
            <c:strRef>
              <c:f>'Data for Sheet1 Chart 4'!$A$2:$A$61</c:f>
              <c:strCache>
                <c:ptCount val="59"/>
                <c:pt idx="0">
                  <c:v>2000K1</c:v>
                </c:pt>
                <c:pt idx="1">
                  <c:v>2000K2</c:v>
                </c:pt>
                <c:pt idx="2">
                  <c:v>2000K3</c:v>
                </c:pt>
                <c:pt idx="3">
                  <c:v>2000K4</c:v>
                </c:pt>
                <c:pt idx="4">
                  <c:v>2001K1</c:v>
                </c:pt>
                <c:pt idx="5">
                  <c:v>2001K2</c:v>
                </c:pt>
                <c:pt idx="6">
                  <c:v>2001K3</c:v>
                </c:pt>
                <c:pt idx="7">
                  <c:v>2001K4</c:v>
                </c:pt>
                <c:pt idx="8">
                  <c:v>2002K1</c:v>
                </c:pt>
                <c:pt idx="9">
                  <c:v>2002K2</c:v>
                </c:pt>
                <c:pt idx="10">
                  <c:v>2002K3</c:v>
                </c:pt>
                <c:pt idx="11">
                  <c:v>2002K4</c:v>
                </c:pt>
                <c:pt idx="12">
                  <c:v>2003K1</c:v>
                </c:pt>
                <c:pt idx="13">
                  <c:v>2003K2</c:v>
                </c:pt>
                <c:pt idx="14">
                  <c:v>2003K3</c:v>
                </c:pt>
                <c:pt idx="15">
                  <c:v>2003K4</c:v>
                </c:pt>
                <c:pt idx="16">
                  <c:v>2004K1</c:v>
                </c:pt>
                <c:pt idx="17">
                  <c:v>2004K2</c:v>
                </c:pt>
                <c:pt idx="18">
                  <c:v>2004K3</c:v>
                </c:pt>
                <c:pt idx="19">
                  <c:v>2004K4</c:v>
                </c:pt>
                <c:pt idx="20">
                  <c:v>2005K1</c:v>
                </c:pt>
                <c:pt idx="21">
                  <c:v>2005K2</c:v>
                </c:pt>
                <c:pt idx="22">
                  <c:v>2005K3</c:v>
                </c:pt>
                <c:pt idx="23">
                  <c:v>2005K4</c:v>
                </c:pt>
                <c:pt idx="24">
                  <c:v>2006K1</c:v>
                </c:pt>
                <c:pt idx="25">
                  <c:v>2006K2</c:v>
                </c:pt>
                <c:pt idx="26">
                  <c:v>2006K3</c:v>
                </c:pt>
                <c:pt idx="27">
                  <c:v>2006K4</c:v>
                </c:pt>
                <c:pt idx="28">
                  <c:v>2007K1</c:v>
                </c:pt>
                <c:pt idx="29">
                  <c:v>2007K2</c:v>
                </c:pt>
                <c:pt idx="30">
                  <c:v>2007K3</c:v>
                </c:pt>
                <c:pt idx="31">
                  <c:v>2007K4</c:v>
                </c:pt>
                <c:pt idx="32">
                  <c:v>2008K1</c:v>
                </c:pt>
                <c:pt idx="33">
                  <c:v>2008K2</c:v>
                </c:pt>
                <c:pt idx="34">
                  <c:v>2008K3</c:v>
                </c:pt>
                <c:pt idx="35">
                  <c:v>2008K4</c:v>
                </c:pt>
                <c:pt idx="36">
                  <c:v>2009K1</c:v>
                </c:pt>
                <c:pt idx="37">
                  <c:v>2009K2</c:v>
                </c:pt>
                <c:pt idx="38">
                  <c:v>2009K3</c:v>
                </c:pt>
                <c:pt idx="39">
                  <c:v>2009K4</c:v>
                </c:pt>
                <c:pt idx="40">
                  <c:v>2010K1</c:v>
                </c:pt>
                <c:pt idx="41">
                  <c:v>2010K2</c:v>
                </c:pt>
                <c:pt idx="42">
                  <c:v>2010K3</c:v>
                </c:pt>
                <c:pt idx="43">
                  <c:v>2010K4</c:v>
                </c:pt>
                <c:pt idx="44">
                  <c:v>2011K1</c:v>
                </c:pt>
                <c:pt idx="45">
                  <c:v>2011K2</c:v>
                </c:pt>
                <c:pt idx="46">
                  <c:v>2011K3</c:v>
                </c:pt>
                <c:pt idx="47">
                  <c:v>2011K4</c:v>
                </c:pt>
                <c:pt idx="48">
                  <c:v>2012K1</c:v>
                </c:pt>
                <c:pt idx="49">
                  <c:v>2012K2</c:v>
                </c:pt>
                <c:pt idx="50">
                  <c:v>2012K3</c:v>
                </c:pt>
                <c:pt idx="51">
                  <c:v>2012K4</c:v>
                </c:pt>
                <c:pt idx="52">
                  <c:v>2013K1</c:v>
                </c:pt>
                <c:pt idx="53">
                  <c:v>2013K2</c:v>
                </c:pt>
                <c:pt idx="54">
                  <c:v>2013K3</c:v>
                </c:pt>
                <c:pt idx="55">
                  <c:v>2013K4</c:v>
                </c:pt>
                <c:pt idx="56">
                  <c:v>2014K1</c:v>
                </c:pt>
                <c:pt idx="57">
                  <c:v>2014K2</c:v>
                </c:pt>
                <c:pt idx="58">
                  <c:v>2014K3</c:v>
                </c:pt>
              </c:strCache>
            </c:strRef>
          </c:cat>
          <c:val>
            <c:numRef>
              <c:f>'Data for Sheet1 Chart 4'!$C$2:$C$61</c:f>
              <c:numCache>
                <c:formatCode>General</c:formatCode>
                <c:ptCount val="59"/>
                <c:pt idx="0">
                  <c:v>-6.2316955755549887E-2</c:v>
                </c:pt>
                <c:pt idx="1">
                  <c:v>-8.6314397192551254E-3</c:v>
                </c:pt>
                <c:pt idx="2">
                  <c:v>0.12505236865798108</c:v>
                </c:pt>
                <c:pt idx="3">
                  <c:v>5.4818674265882737E-2</c:v>
                </c:pt>
                <c:pt idx="4">
                  <c:v>-2.2135858947585942E-2</c:v>
                </c:pt>
                <c:pt idx="5">
                  <c:v>-5.5936385120875703E-2</c:v>
                </c:pt>
                <c:pt idx="6">
                  <c:v>-8.8062552257237039E-2</c:v>
                </c:pt>
                <c:pt idx="7">
                  <c:v>-0.11432567304601704</c:v>
                </c:pt>
                <c:pt idx="8">
                  <c:v>-0.15108347998351732</c:v>
                </c:pt>
                <c:pt idx="9">
                  <c:v>-0.13816001217527074</c:v>
                </c:pt>
                <c:pt idx="10">
                  <c:v>-0.17480388781535325</c:v>
                </c:pt>
                <c:pt idx="11">
                  <c:v>-0.14783194155546037</c:v>
                </c:pt>
                <c:pt idx="12">
                  <c:v>-5.2120458697152955E-2</c:v>
                </c:pt>
                <c:pt idx="13">
                  <c:v>-7.7063698531527808E-2</c:v>
                </c:pt>
                <c:pt idx="14">
                  <c:v>-2.6442159877341229E-3</c:v>
                </c:pt>
                <c:pt idx="15">
                  <c:v>-3.6564856411253524E-2</c:v>
                </c:pt>
                <c:pt idx="16">
                  <c:v>-7.1847303546827584E-2</c:v>
                </c:pt>
                <c:pt idx="17">
                  <c:v>-3.7917614361610681E-2</c:v>
                </c:pt>
                <c:pt idx="18">
                  <c:v>-9.1352811769882192E-2</c:v>
                </c:pt>
                <c:pt idx="19">
                  <c:v>-9.0892816673069532E-2</c:v>
                </c:pt>
                <c:pt idx="20">
                  <c:v>-9.989253866583353E-2</c:v>
                </c:pt>
                <c:pt idx="21">
                  <c:v>-0.15039717138228789</c:v>
                </c:pt>
                <c:pt idx="22">
                  <c:v>-0.19281235092481919</c:v>
                </c:pt>
                <c:pt idx="23">
                  <c:v>-0.23236064149695404</c:v>
                </c:pt>
                <c:pt idx="24">
                  <c:v>-0.25724339048376571</c:v>
                </c:pt>
                <c:pt idx="25">
                  <c:v>-0.29577232033613349</c:v>
                </c:pt>
                <c:pt idx="26">
                  <c:v>-0.25413773657728667</c:v>
                </c:pt>
                <c:pt idx="27">
                  <c:v>-0.26446372193814482</c:v>
                </c:pt>
                <c:pt idx="28">
                  <c:v>-0.27424491563761516</c:v>
                </c:pt>
                <c:pt idx="29">
                  <c:v>-0.2992919552941537</c:v>
                </c:pt>
                <c:pt idx="30">
                  <c:v>-0.38566053950722085</c:v>
                </c:pt>
                <c:pt idx="31">
                  <c:v>-0.46029923473764645</c:v>
                </c:pt>
                <c:pt idx="32">
                  <c:v>-0.52960692868312642</c:v>
                </c:pt>
                <c:pt idx="33">
                  <c:v>-0.58038976352974847</c:v>
                </c:pt>
                <c:pt idx="34">
                  <c:v>-0.5768453009106369</c:v>
                </c:pt>
                <c:pt idx="35">
                  <c:v>-0.55213884427211168</c:v>
                </c:pt>
                <c:pt idx="36">
                  <c:v>-0.46737754494118761</c:v>
                </c:pt>
                <c:pt idx="37">
                  <c:v>-0.3440540491702046</c:v>
                </c:pt>
                <c:pt idx="38">
                  <c:v>-0.2138097516886534</c:v>
                </c:pt>
                <c:pt idx="39">
                  <c:v>-0.20694131703800384</c:v>
                </c:pt>
                <c:pt idx="40">
                  <c:v>-0.22250138034625006</c:v>
                </c:pt>
                <c:pt idx="41">
                  <c:v>-0.30725089302128888</c:v>
                </c:pt>
                <c:pt idx="42">
                  <c:v>-0.42769598732978831</c:v>
                </c:pt>
                <c:pt idx="43">
                  <c:v>-0.37677560260045168</c:v>
                </c:pt>
                <c:pt idx="44">
                  <c:v>-0.38468028567717838</c:v>
                </c:pt>
                <c:pt idx="45">
                  <c:v>-0.30024293576799732</c:v>
                </c:pt>
                <c:pt idx="46">
                  <c:v>-0.19271386198827356</c:v>
                </c:pt>
                <c:pt idx="47">
                  <c:v>-0.23394883297903232</c:v>
                </c:pt>
                <c:pt idx="48">
                  <c:v>-0.32311767916893191</c:v>
                </c:pt>
                <c:pt idx="49">
                  <c:v>-0.38228826102988489</c:v>
                </c:pt>
                <c:pt idx="50">
                  <c:v>-0.55840942980818975</c:v>
                </c:pt>
                <c:pt idx="51">
                  <c:v>-0.54201079465710067</c:v>
                </c:pt>
                <c:pt idx="52">
                  <c:v>-0.42114049346075283</c:v>
                </c:pt>
                <c:pt idx="53">
                  <c:v>-0.39665494653368832</c:v>
                </c:pt>
                <c:pt idx="54">
                  <c:v>-0.33521634296116487</c:v>
                </c:pt>
                <c:pt idx="55">
                  <c:v>-0.22083120308078052</c:v>
                </c:pt>
                <c:pt idx="56">
                  <c:v>-8.8302132714184217E-2</c:v>
                </c:pt>
                <c:pt idx="57">
                  <c:v>-8.9137366137908083E-3</c:v>
                </c:pt>
                <c:pt idx="58">
                  <c:v>2.8410085139335184E-2</c:v>
                </c:pt>
              </c:numCache>
            </c:numRef>
          </c:val>
        </c:ser>
        <c:ser>
          <c:idx val="2"/>
          <c:order val="2"/>
          <c:tx>
            <c:strRef>
              <c:f>'Data for Sheet1 Chart 4'!$D$1</c:f>
              <c:strCache>
                <c:ptCount val="1"/>
                <c:pt idx="0">
                  <c:v>Fødsel, relativ</c:v>
                </c:pt>
              </c:strCache>
            </c:strRef>
          </c:tx>
          <c:cat>
            <c:strRef>
              <c:f>'Data for Sheet1 Chart 4'!$A$2:$A$61</c:f>
              <c:strCache>
                <c:ptCount val="59"/>
                <c:pt idx="0">
                  <c:v>2000K1</c:v>
                </c:pt>
                <c:pt idx="1">
                  <c:v>2000K2</c:v>
                </c:pt>
                <c:pt idx="2">
                  <c:v>2000K3</c:v>
                </c:pt>
                <c:pt idx="3">
                  <c:v>2000K4</c:v>
                </c:pt>
                <c:pt idx="4">
                  <c:v>2001K1</c:v>
                </c:pt>
                <c:pt idx="5">
                  <c:v>2001K2</c:v>
                </c:pt>
                <c:pt idx="6">
                  <c:v>2001K3</c:v>
                </c:pt>
                <c:pt idx="7">
                  <c:v>2001K4</c:v>
                </c:pt>
                <c:pt idx="8">
                  <c:v>2002K1</c:v>
                </c:pt>
                <c:pt idx="9">
                  <c:v>2002K2</c:v>
                </c:pt>
                <c:pt idx="10">
                  <c:v>2002K3</c:v>
                </c:pt>
                <c:pt idx="11">
                  <c:v>2002K4</c:v>
                </c:pt>
                <c:pt idx="12">
                  <c:v>2003K1</c:v>
                </c:pt>
                <c:pt idx="13">
                  <c:v>2003K2</c:v>
                </c:pt>
                <c:pt idx="14">
                  <c:v>2003K3</c:v>
                </c:pt>
                <c:pt idx="15">
                  <c:v>2003K4</c:v>
                </c:pt>
                <c:pt idx="16">
                  <c:v>2004K1</c:v>
                </c:pt>
                <c:pt idx="17">
                  <c:v>2004K2</c:v>
                </c:pt>
                <c:pt idx="18">
                  <c:v>2004K3</c:v>
                </c:pt>
                <c:pt idx="19">
                  <c:v>2004K4</c:v>
                </c:pt>
                <c:pt idx="20">
                  <c:v>2005K1</c:v>
                </c:pt>
                <c:pt idx="21">
                  <c:v>2005K2</c:v>
                </c:pt>
                <c:pt idx="22">
                  <c:v>2005K3</c:v>
                </c:pt>
                <c:pt idx="23">
                  <c:v>2005K4</c:v>
                </c:pt>
                <c:pt idx="24">
                  <c:v>2006K1</c:v>
                </c:pt>
                <c:pt idx="25">
                  <c:v>2006K2</c:v>
                </c:pt>
                <c:pt idx="26">
                  <c:v>2006K3</c:v>
                </c:pt>
                <c:pt idx="27">
                  <c:v>2006K4</c:v>
                </c:pt>
                <c:pt idx="28">
                  <c:v>2007K1</c:v>
                </c:pt>
                <c:pt idx="29">
                  <c:v>2007K2</c:v>
                </c:pt>
                <c:pt idx="30">
                  <c:v>2007K3</c:v>
                </c:pt>
                <c:pt idx="31">
                  <c:v>2007K4</c:v>
                </c:pt>
                <c:pt idx="32">
                  <c:v>2008K1</c:v>
                </c:pt>
                <c:pt idx="33">
                  <c:v>2008K2</c:v>
                </c:pt>
                <c:pt idx="34">
                  <c:v>2008K3</c:v>
                </c:pt>
                <c:pt idx="35">
                  <c:v>2008K4</c:v>
                </c:pt>
                <c:pt idx="36">
                  <c:v>2009K1</c:v>
                </c:pt>
                <c:pt idx="37">
                  <c:v>2009K2</c:v>
                </c:pt>
                <c:pt idx="38">
                  <c:v>2009K3</c:v>
                </c:pt>
                <c:pt idx="39">
                  <c:v>2009K4</c:v>
                </c:pt>
                <c:pt idx="40">
                  <c:v>2010K1</c:v>
                </c:pt>
                <c:pt idx="41">
                  <c:v>2010K2</c:v>
                </c:pt>
                <c:pt idx="42">
                  <c:v>2010K3</c:v>
                </c:pt>
                <c:pt idx="43">
                  <c:v>2010K4</c:v>
                </c:pt>
                <c:pt idx="44">
                  <c:v>2011K1</c:v>
                </c:pt>
                <c:pt idx="45">
                  <c:v>2011K2</c:v>
                </c:pt>
                <c:pt idx="46">
                  <c:v>2011K3</c:v>
                </c:pt>
                <c:pt idx="47">
                  <c:v>2011K4</c:v>
                </c:pt>
                <c:pt idx="48">
                  <c:v>2012K1</c:v>
                </c:pt>
                <c:pt idx="49">
                  <c:v>2012K2</c:v>
                </c:pt>
                <c:pt idx="50">
                  <c:v>2012K3</c:v>
                </c:pt>
                <c:pt idx="51">
                  <c:v>2012K4</c:v>
                </c:pt>
                <c:pt idx="52">
                  <c:v>2013K1</c:v>
                </c:pt>
                <c:pt idx="53">
                  <c:v>2013K2</c:v>
                </c:pt>
                <c:pt idx="54">
                  <c:v>2013K3</c:v>
                </c:pt>
                <c:pt idx="55">
                  <c:v>2013K4</c:v>
                </c:pt>
                <c:pt idx="56">
                  <c:v>2014K1</c:v>
                </c:pt>
                <c:pt idx="57">
                  <c:v>2014K2</c:v>
                </c:pt>
                <c:pt idx="58">
                  <c:v>2014K3</c:v>
                </c:pt>
              </c:strCache>
            </c:strRef>
          </c:cat>
          <c:val>
            <c:numRef>
              <c:f>'Data for Sheet1 Chart 4'!$D$2:$D$61</c:f>
              <c:numCache>
                <c:formatCode>General</c:formatCode>
                <c:ptCount val="59"/>
                <c:pt idx="0">
                  <c:v>-0.64792290493747084</c:v>
                </c:pt>
                <c:pt idx="1">
                  <c:v>-0.66298320357417984</c:v>
                </c:pt>
                <c:pt idx="2">
                  <c:v>-0.75919827147287322</c:v>
                </c:pt>
                <c:pt idx="3">
                  <c:v>-0.66024567089567776</c:v>
                </c:pt>
                <c:pt idx="4">
                  <c:v>-0.6904536648207813</c:v>
                </c:pt>
                <c:pt idx="5">
                  <c:v>-0.72357840289378705</c:v>
                </c:pt>
                <c:pt idx="6">
                  <c:v>-0.73134561616962035</c:v>
                </c:pt>
                <c:pt idx="7">
                  <c:v>-0.6989091330024495</c:v>
                </c:pt>
                <c:pt idx="8">
                  <c:v>-0.74546875340113439</c:v>
                </c:pt>
                <c:pt idx="9">
                  <c:v>-0.75618122204171945</c:v>
                </c:pt>
                <c:pt idx="10">
                  <c:v>-0.76343040413479002</c:v>
                </c:pt>
                <c:pt idx="11">
                  <c:v>-0.82443949930068361</c:v>
                </c:pt>
                <c:pt idx="12">
                  <c:v>-0.78050563208914259</c:v>
                </c:pt>
                <c:pt idx="13">
                  <c:v>-0.77901142115338273</c:v>
                </c:pt>
                <c:pt idx="14">
                  <c:v>-0.70250314414902837</c:v>
                </c:pt>
                <c:pt idx="15">
                  <c:v>-0.75369864569983791</c:v>
                </c:pt>
                <c:pt idx="16">
                  <c:v>-0.72421242923402862</c:v>
                </c:pt>
                <c:pt idx="17">
                  <c:v>-0.71856031782227769</c:v>
                </c:pt>
                <c:pt idx="18">
                  <c:v>-0.8354586340825727</c:v>
                </c:pt>
                <c:pt idx="19">
                  <c:v>-0.71159452107209309</c:v>
                </c:pt>
                <c:pt idx="20">
                  <c:v>-0.76156976905964813</c:v>
                </c:pt>
                <c:pt idx="21">
                  <c:v>-0.81215311391318723</c:v>
                </c:pt>
                <c:pt idx="22">
                  <c:v>-0.71919800704017445</c:v>
                </c:pt>
                <c:pt idx="23">
                  <c:v>-0.75479638728844478</c:v>
                </c:pt>
                <c:pt idx="24">
                  <c:v>-0.71686129344458793</c:v>
                </c:pt>
                <c:pt idx="25">
                  <c:v>-0.71093267616193279</c:v>
                </c:pt>
                <c:pt idx="26">
                  <c:v>-0.82841897321496871</c:v>
                </c:pt>
                <c:pt idx="27">
                  <c:v>-0.90311918725564866</c:v>
                </c:pt>
                <c:pt idx="28">
                  <c:v>-0.93665141595193369</c:v>
                </c:pt>
                <c:pt idx="29">
                  <c:v>-0.89345635139447066</c:v>
                </c:pt>
                <c:pt idx="30">
                  <c:v>-0.82441227258711702</c:v>
                </c:pt>
                <c:pt idx="31">
                  <c:v>-0.79718565222420146</c:v>
                </c:pt>
                <c:pt idx="32">
                  <c:v>-0.72709585204560689</c:v>
                </c:pt>
                <c:pt idx="33">
                  <c:v>-0.77009597335859292</c:v>
                </c:pt>
                <c:pt idx="34">
                  <c:v>-0.81604360315110314</c:v>
                </c:pt>
                <c:pt idx="35">
                  <c:v>-0.89250471259702513</c:v>
                </c:pt>
                <c:pt idx="36">
                  <c:v>-1.0433255616616495</c:v>
                </c:pt>
                <c:pt idx="37">
                  <c:v>-0.97612235118187163</c:v>
                </c:pt>
                <c:pt idx="38">
                  <c:v>-1.0226252072354796</c:v>
                </c:pt>
                <c:pt idx="39">
                  <c:v>-0.95437873229414805</c:v>
                </c:pt>
                <c:pt idx="40">
                  <c:v>-0.85024493908675725</c:v>
                </c:pt>
                <c:pt idx="41">
                  <c:v>-0.92655520949233849</c:v>
                </c:pt>
                <c:pt idx="42">
                  <c:v>-0.87425525522757863</c:v>
                </c:pt>
                <c:pt idx="43">
                  <c:v>-0.88734778078541388</c:v>
                </c:pt>
                <c:pt idx="44">
                  <c:v>-0.85902611662398454</c:v>
                </c:pt>
                <c:pt idx="45">
                  <c:v>-0.85772984277862951</c:v>
                </c:pt>
                <c:pt idx="46">
                  <c:v>-0.86470100417212115</c:v>
                </c:pt>
                <c:pt idx="47">
                  <c:v>-0.79000098404657004</c:v>
                </c:pt>
                <c:pt idx="48">
                  <c:v>-0.79631858493519769</c:v>
                </c:pt>
                <c:pt idx="49">
                  <c:v>-0.80028417760465353</c:v>
                </c:pt>
                <c:pt idx="50">
                  <c:v>-0.71113922900074789</c:v>
                </c:pt>
                <c:pt idx="51">
                  <c:v>-0.74680100504701818</c:v>
                </c:pt>
                <c:pt idx="52">
                  <c:v>-0.82494831468661578</c:v>
                </c:pt>
                <c:pt idx="53">
                  <c:v>-0.81363747126889086</c:v>
                </c:pt>
                <c:pt idx="54">
                  <c:v>-0.86189592399360648</c:v>
                </c:pt>
                <c:pt idx="55">
                  <c:v>-0.8784273094114543</c:v>
                </c:pt>
                <c:pt idx="56">
                  <c:v>-0.80838987651014815</c:v>
                </c:pt>
                <c:pt idx="57">
                  <c:v>-0.87627019280514062</c:v>
                </c:pt>
                <c:pt idx="58">
                  <c:v>-0.91824486878258771</c:v>
                </c:pt>
              </c:numCache>
            </c:numRef>
          </c:val>
        </c:ser>
        <c:gapWidth val="50"/>
        <c:overlap val="100"/>
        <c:axId val="200995968"/>
        <c:axId val="200997504"/>
      </c:barChart>
      <c:catAx>
        <c:axId val="200995968"/>
        <c:scaling>
          <c:orientation val="minMax"/>
        </c:scaling>
        <c:axPos val="b"/>
        <c:numFmt formatCode="General" sourceLinked="0"/>
        <c:majorTickMark val="none"/>
        <c:tickLblPos val="nextTo"/>
        <c:spPr>
          <a:ln>
            <a:solidFill>
              <a:schemeClr val="accent1">
                <a:lumMod val="20000"/>
                <a:lumOff val="80000"/>
              </a:schemeClr>
            </a:solidFill>
          </a:ln>
        </c:spPr>
        <c:txPr>
          <a:bodyPr rot="5400000" vert="horz"/>
          <a:lstStyle/>
          <a:p>
            <a:pPr>
              <a:defRPr/>
            </a:pPr>
            <a:endParaRPr lang="nb-NO"/>
          </a:p>
        </c:txPr>
        <c:crossAx val="200997504"/>
        <c:crossesAt val="-9999999"/>
        <c:auto val="1"/>
        <c:lblAlgn val="ctr"/>
        <c:lblOffset val="100"/>
        <c:tickLblSkip val="4"/>
        <c:tickMarkSkip val="4"/>
        <c:noMultiLvlLbl val="1"/>
      </c:catAx>
      <c:valAx>
        <c:axId val="200997504"/>
        <c:scaling>
          <c:orientation val="minMax"/>
        </c:scaling>
        <c:axPos val="l"/>
        <c:majorGridlines>
          <c:spPr>
            <a:ln>
              <a:solidFill>
                <a:schemeClr val="accent1">
                  <a:lumMod val="20000"/>
                  <a:lumOff val="80000"/>
                </a:schemeClr>
              </a:solidFill>
            </a:ln>
          </c:spPr>
        </c:majorGridlines>
        <c:numFmt formatCode="General" sourceLinked="1"/>
        <c:tickLblPos val="nextTo"/>
        <c:spPr>
          <a:ln>
            <a:noFill/>
          </a:ln>
        </c:spPr>
        <c:crossAx val="200995968"/>
        <c:crosses val="autoZero"/>
        <c:crossBetween val="between"/>
        <c:minorUnit val="0.5"/>
      </c:valAx>
    </c:plotArea>
    <c:legend>
      <c:legendPos val="t"/>
      <c:layout>
        <c:manualLayout>
          <c:xMode val="edge"/>
          <c:yMode val="edge"/>
          <c:x val="8.2565138312048356E-2"/>
          <c:y val="1.2678290540497818E-2"/>
          <c:w val="0.86321560590215751"/>
          <c:h val="0.1099876373078576"/>
        </c:manualLayout>
      </c:layout>
    </c:legend>
    <c:plotVisOnly val="1"/>
    <c:dispBlanksAs val="gap"/>
  </c:chart>
  <c:spPr>
    <a:ln>
      <a:noFill/>
    </a:ln>
  </c:spPr>
  <c:txPr>
    <a:bodyPr/>
    <a:lstStyle/>
    <a:p>
      <a:pPr>
        <a:defRPr sz="800">
          <a:latin typeface="Arial" pitchFamily="34" charset="0"/>
          <a:cs typeface="Arial"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title>
    <c:plotArea>
      <c:layout>
        <c:manualLayout>
          <c:layoutTarget val="inner"/>
          <c:xMode val="edge"/>
          <c:yMode val="edge"/>
          <c:x val="8.8170264205933255E-2"/>
          <c:y val="5.7429830840522923E-2"/>
          <c:w val="0.72449534717251263"/>
          <c:h val="0.84210803151502955"/>
        </c:manualLayout>
      </c:layout>
      <c:lineChart>
        <c:grouping val="standard"/>
        <c:ser>
          <c:idx val="0"/>
          <c:order val="0"/>
          <c:tx>
            <c:v>Normalscenrio</c:v>
          </c:tx>
          <c:spPr>
            <a:ln w="28575" cap="rnd">
              <a:solidFill>
                <a:srgbClr val="C00000"/>
              </a:solidFill>
              <a:round/>
            </a:ln>
            <a:effectLst/>
          </c:spPr>
          <c:marker>
            <c:symbol val="none"/>
          </c:marker>
          <c:dLbls>
            <c:dLbl>
              <c:idx val="27"/>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Kommune!$E$22:$AF$22</c:f>
              <c:strCach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strCache>
            </c:strRef>
          </c:cat>
          <c:val>
            <c:numRef>
              <c:f>Kommune!$E$67:$AF$67</c:f>
              <c:numCache>
                <c:formatCode>0</c:formatCode>
                <c:ptCount val="28"/>
                <c:pt idx="0">
                  <c:v>20465</c:v>
                </c:pt>
                <c:pt idx="1">
                  <c:v>20470.29440771661</c:v>
                </c:pt>
                <c:pt idx="2">
                  <c:v>20464.626230021047</c:v>
                </c:pt>
                <c:pt idx="3">
                  <c:v>20431.788696709009</c:v>
                </c:pt>
                <c:pt idx="4">
                  <c:v>20396.77361515466</c:v>
                </c:pt>
                <c:pt idx="5">
                  <c:v>20331.291026710351</c:v>
                </c:pt>
                <c:pt idx="6">
                  <c:v>20249.66152143768</c:v>
                </c:pt>
                <c:pt idx="7">
                  <c:v>20157.911941816983</c:v>
                </c:pt>
                <c:pt idx="8">
                  <c:v>20048.86335186207</c:v>
                </c:pt>
                <c:pt idx="9">
                  <c:v>19940.988673220079</c:v>
                </c:pt>
                <c:pt idx="10">
                  <c:v>19836.427627670244</c:v>
                </c:pt>
                <c:pt idx="11">
                  <c:v>19731.985883457815</c:v>
                </c:pt>
                <c:pt idx="12">
                  <c:v>19627.585209111949</c:v>
                </c:pt>
                <c:pt idx="13">
                  <c:v>19526.07614096838</c:v>
                </c:pt>
                <c:pt idx="14">
                  <c:v>19411.802152855769</c:v>
                </c:pt>
                <c:pt idx="15">
                  <c:v>19301.032365385807</c:v>
                </c:pt>
                <c:pt idx="16">
                  <c:v>19185.960120912499</c:v>
                </c:pt>
                <c:pt idx="17">
                  <c:v>19053.688912355119</c:v>
                </c:pt>
                <c:pt idx="18">
                  <c:v>18921.034258239994</c:v>
                </c:pt>
                <c:pt idx="19">
                  <c:v>18779.937257291902</c:v>
                </c:pt>
                <c:pt idx="20">
                  <c:v>18637.457204669292</c:v>
                </c:pt>
                <c:pt idx="21">
                  <c:v>18492.393072735282</c:v>
                </c:pt>
                <c:pt idx="22">
                  <c:v>18345.857126280021</c:v>
                </c:pt>
                <c:pt idx="23">
                  <c:v>18196.44768470067</c:v>
                </c:pt>
                <c:pt idx="24">
                  <c:v>18046.843159708609</c:v>
                </c:pt>
                <c:pt idx="25">
                  <c:v>17902.676283547331</c:v>
                </c:pt>
                <c:pt idx="26">
                  <c:v>17760.664866250849</c:v>
                </c:pt>
                <c:pt idx="27">
                  <c:v>17615.123482239705</c:v>
                </c:pt>
              </c:numCache>
            </c:numRef>
          </c:val>
        </c:ser>
        <c:marker val="1"/>
        <c:axId val="256489728"/>
        <c:axId val="255275008"/>
      </c:lineChart>
      <c:catAx>
        <c:axId val="256489728"/>
        <c:scaling>
          <c:orientation val="minMax"/>
        </c:scaling>
        <c:axPos val="b"/>
        <c:numFmt formatCode="General" sourceLinked="1"/>
        <c:majorTickMark val="in"/>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5275008"/>
        <c:crosses val="autoZero"/>
        <c:auto val="1"/>
        <c:lblAlgn val="ctr"/>
        <c:lblOffset val="100"/>
        <c:tickLblSkip val="1"/>
      </c:catAx>
      <c:valAx>
        <c:axId val="25527500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489728"/>
        <c:crosses val="autoZero"/>
        <c:crossBetween val="between"/>
      </c:valAx>
      <c:spPr>
        <a:noFill/>
        <a:ln>
          <a:noFill/>
        </a:ln>
        <a:effectLst/>
      </c:spPr>
    </c:plotArea>
    <c:legend>
      <c:legendPos val="t"/>
      <c:layout>
        <c:manualLayout>
          <c:xMode val="edge"/>
          <c:yMode val="edge"/>
          <c:x val="0.2608210039412997"/>
          <c:y val="0.54314390806518831"/>
          <c:w val="0.39198266145593463"/>
          <c:h val="0.1680799108278532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plotArea>
      <c:layout>
        <c:manualLayout>
          <c:layoutTarget val="inner"/>
          <c:xMode val="edge"/>
          <c:yMode val="edge"/>
          <c:x val="8.8170264205933255E-2"/>
          <c:y val="5.7429830840522923E-2"/>
          <c:w val="0.73941474706965959"/>
          <c:h val="0.87020155973326296"/>
        </c:manualLayout>
      </c:layout>
      <c:lineChart>
        <c:grouping val="standard"/>
        <c:ser>
          <c:idx val="0"/>
          <c:order val="0"/>
          <c:tx>
            <c:v>Normalscenario</c:v>
          </c:tx>
          <c:spPr>
            <a:ln w="28575" cap="rnd">
              <a:solidFill>
                <a:srgbClr val="C00000"/>
              </a:solidFill>
              <a:round/>
            </a:ln>
            <a:effectLst/>
          </c:spPr>
          <c:marker>
            <c:symbol val="none"/>
          </c:marker>
          <c:dLbls>
            <c:dLbl>
              <c:idx val="27"/>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Kommune!$E$22:$AF$22</c:f>
              <c:strCach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strCache>
            </c:strRef>
          </c:cat>
          <c:val>
            <c:numRef>
              <c:f>Kommune!$E$74:$AF$74</c:f>
              <c:numCache>
                <c:formatCode>General</c:formatCode>
                <c:ptCount val="28"/>
                <c:pt idx="0" formatCode="#,##0">
                  <c:v>53339</c:v>
                </c:pt>
                <c:pt idx="1">
                  <c:v>53318</c:v>
                </c:pt>
                <c:pt idx="2" formatCode="0">
                  <c:v>53256.396672802148</c:v>
                </c:pt>
                <c:pt idx="3" formatCode="0">
                  <c:v>53163.972251896856</c:v>
                </c:pt>
                <c:pt idx="4" formatCode="0">
                  <c:v>53062.515437458642</c:v>
                </c:pt>
                <c:pt idx="5" formatCode="0">
                  <c:v>52953.884341015109</c:v>
                </c:pt>
                <c:pt idx="6" formatCode="0">
                  <c:v>52804.107585619204</c:v>
                </c:pt>
                <c:pt idx="7" formatCode="0">
                  <c:v>52643.655352186302</c:v>
                </c:pt>
                <c:pt idx="8" formatCode="0">
                  <c:v>52486.685666172605</c:v>
                </c:pt>
                <c:pt idx="9" formatCode="0">
                  <c:v>52326.001899977491</c:v>
                </c:pt>
                <c:pt idx="10" formatCode="0">
                  <c:v>52173.736485593763</c:v>
                </c:pt>
                <c:pt idx="11" formatCode="0">
                  <c:v>52015.964694494956</c:v>
                </c:pt>
                <c:pt idx="12" formatCode="0">
                  <c:v>51850.396965990665</c:v>
                </c:pt>
                <c:pt idx="13" formatCode="0">
                  <c:v>51689.965155239654</c:v>
                </c:pt>
                <c:pt idx="14" formatCode="0">
                  <c:v>51502.158315635192</c:v>
                </c:pt>
                <c:pt idx="15" formatCode="0">
                  <c:v>51318.278256000202</c:v>
                </c:pt>
                <c:pt idx="16" formatCode="0">
                  <c:v>51099.550942956666</c:v>
                </c:pt>
                <c:pt idx="17" formatCode="0">
                  <c:v>50875.947975600116</c:v>
                </c:pt>
                <c:pt idx="18" formatCode="0">
                  <c:v>50634.712061826234</c:v>
                </c:pt>
                <c:pt idx="19" formatCode="0">
                  <c:v>50382.855228232445</c:v>
                </c:pt>
                <c:pt idx="20" formatCode="0">
                  <c:v>50108.913134608592</c:v>
                </c:pt>
                <c:pt idx="21" formatCode="0">
                  <c:v>49808.873243908121</c:v>
                </c:pt>
                <c:pt idx="22" formatCode="0">
                  <c:v>49487.940052448794</c:v>
                </c:pt>
                <c:pt idx="23" formatCode="0">
                  <c:v>49140.806141311215</c:v>
                </c:pt>
                <c:pt idx="24" formatCode="0">
                  <c:v>48781.024848382753</c:v>
                </c:pt>
                <c:pt idx="25" formatCode="0">
                  <c:v>48393.044168225533</c:v>
                </c:pt>
                <c:pt idx="26" formatCode="0">
                  <c:v>48006.007193716003</c:v>
                </c:pt>
                <c:pt idx="27" formatCode="0">
                  <c:v>47593.211551548586</c:v>
                </c:pt>
              </c:numCache>
            </c:numRef>
          </c:val>
        </c:ser>
        <c:ser>
          <c:idx val="1"/>
          <c:order val="1"/>
          <c:tx>
            <c:v>Historisk</c:v>
          </c:tx>
          <c:spPr>
            <a:ln w="28575" cap="rnd">
              <a:solidFill>
                <a:schemeClr val="accent6"/>
              </a:solidFill>
              <a:round/>
            </a:ln>
            <a:effectLst/>
          </c:spPr>
          <c:marker>
            <c:symbol val="none"/>
          </c:marker>
          <c:dLbls>
            <c:dLbl>
              <c:idx val="27"/>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Kommune!$E$22:$AF$22</c:f>
              <c:strCach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strCache>
            </c:strRef>
          </c:cat>
          <c:val>
            <c:numRef>
              <c:f>Kommune!$AJ$74:$BK$74</c:f>
              <c:numCache>
                <c:formatCode>General</c:formatCode>
                <c:ptCount val="28"/>
                <c:pt idx="0" formatCode="#,##0">
                  <c:v>53339</c:v>
                </c:pt>
                <c:pt idx="1">
                  <c:v>53318</c:v>
                </c:pt>
                <c:pt idx="2" formatCode="0">
                  <c:v>53366.218300239736</c:v>
                </c:pt>
                <c:pt idx="3" formatCode="0">
                  <c:v>53403.312017531112</c:v>
                </c:pt>
                <c:pt idx="4" formatCode="0">
                  <c:v>53436.035605529622</c:v>
                </c:pt>
                <c:pt idx="5" formatCode="0">
                  <c:v>53463.688105375782</c:v>
                </c:pt>
                <c:pt idx="6" formatCode="0">
                  <c:v>53451.485279382345</c:v>
                </c:pt>
                <c:pt idx="7" formatCode="0">
                  <c:v>53429.811729358211</c:v>
                </c:pt>
                <c:pt idx="8" formatCode="0">
                  <c:v>53412.93839124978</c:v>
                </c:pt>
                <c:pt idx="9" formatCode="0">
                  <c:v>53393.580699265069</c:v>
                </c:pt>
                <c:pt idx="10" formatCode="0">
                  <c:v>53384.06417908462</c:v>
                </c:pt>
                <c:pt idx="11" formatCode="0">
                  <c:v>53370.223089192405</c:v>
                </c:pt>
                <c:pt idx="12" formatCode="0">
                  <c:v>53349.608426074963</c:v>
                </c:pt>
                <c:pt idx="13" formatCode="0">
                  <c:v>53335.428166223675</c:v>
                </c:pt>
                <c:pt idx="14" formatCode="0">
                  <c:v>53294.207063850932</c:v>
                </c:pt>
                <c:pt idx="15" formatCode="0">
                  <c:v>53257.972379196297</c:v>
                </c:pt>
                <c:pt idx="16" formatCode="0">
                  <c:v>53186.600328887034</c:v>
                </c:pt>
                <c:pt idx="17" formatCode="0">
                  <c:v>53110.800669709635</c:v>
                </c:pt>
                <c:pt idx="18" formatCode="0">
                  <c:v>53017.284302061453</c:v>
                </c:pt>
                <c:pt idx="19" formatCode="0">
                  <c:v>52913.166576189891</c:v>
                </c:pt>
                <c:pt idx="20" formatCode="0">
                  <c:v>52786.301447929676</c:v>
                </c:pt>
                <c:pt idx="21" formatCode="0">
                  <c:v>52632.161244915202</c:v>
                </c:pt>
                <c:pt idx="22" formatCode="0">
                  <c:v>52455.907966727966</c:v>
                </c:pt>
                <c:pt idx="23" formatCode="0">
                  <c:v>52251.685729413832</c:v>
                </c:pt>
                <c:pt idx="24" formatCode="0">
                  <c:v>52033.561082414104</c:v>
                </c:pt>
                <c:pt idx="25" formatCode="0">
                  <c:v>51784.837821189423</c:v>
                </c:pt>
                <c:pt idx="26" formatCode="0">
                  <c:v>51536.276675990048</c:v>
                </c:pt>
                <c:pt idx="27" formatCode="0">
                  <c:v>51259.325294720809</c:v>
                </c:pt>
              </c:numCache>
            </c:numRef>
          </c:val>
        </c:ser>
        <c:ser>
          <c:idx val="4"/>
          <c:order val="2"/>
          <c:tx>
            <c:v>MMMM</c:v>
          </c:tx>
          <c:spPr>
            <a:ln w="28575" cap="rnd">
              <a:solidFill>
                <a:schemeClr val="accent4"/>
              </a:solidFill>
              <a:round/>
            </a:ln>
            <a:effectLst/>
          </c:spPr>
          <c:marker>
            <c:symbol val="none"/>
          </c:marker>
          <c:dLbls>
            <c:dLbl>
              <c:idx val="27"/>
              <c:layout>
                <c:manualLayout>
                  <c:x val="0"/>
                  <c:y val="-5.5888223552894231E-2"/>
                </c:manualLayout>
              </c:layout>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Kommune!$E$12:$AF$12</c:f>
              <c:numCache>
                <c:formatCode>0.00</c:formatCode>
                <c:ptCount val="28"/>
                <c:pt idx="0" formatCode="#,##0">
                  <c:v>53339</c:v>
                </c:pt>
                <c:pt idx="1">
                  <c:v>53318</c:v>
                </c:pt>
                <c:pt idx="2">
                  <c:v>53412</c:v>
                </c:pt>
                <c:pt idx="3">
                  <c:v>53526</c:v>
                </c:pt>
                <c:pt idx="4">
                  <c:v>53660</c:v>
                </c:pt>
                <c:pt idx="5">
                  <c:v>53800</c:v>
                </c:pt>
                <c:pt idx="6">
                  <c:v>53938</c:v>
                </c:pt>
                <c:pt idx="7">
                  <c:v>54100</c:v>
                </c:pt>
                <c:pt idx="8">
                  <c:v>54265</c:v>
                </c:pt>
                <c:pt idx="9">
                  <c:v>54446</c:v>
                </c:pt>
                <c:pt idx="10">
                  <c:v>54642</c:v>
                </c:pt>
                <c:pt idx="11">
                  <c:v>54850</c:v>
                </c:pt>
                <c:pt idx="12">
                  <c:v>55056</c:v>
                </c:pt>
                <c:pt idx="13">
                  <c:v>55292</c:v>
                </c:pt>
                <c:pt idx="14">
                  <c:v>55512</c:v>
                </c:pt>
                <c:pt idx="15">
                  <c:v>55755</c:v>
                </c:pt>
                <c:pt idx="16">
                  <c:v>55964</c:v>
                </c:pt>
                <c:pt idx="17">
                  <c:v>56189</c:v>
                </c:pt>
                <c:pt idx="18">
                  <c:v>56395</c:v>
                </c:pt>
                <c:pt idx="19">
                  <c:v>56618</c:v>
                </c:pt>
                <c:pt idx="20">
                  <c:v>56804</c:v>
                </c:pt>
                <c:pt idx="21">
                  <c:v>56989</c:v>
                </c:pt>
                <c:pt idx="22">
                  <c:v>57188</c:v>
                </c:pt>
                <c:pt idx="23">
                  <c:v>57371</c:v>
                </c:pt>
                <c:pt idx="24">
                  <c:v>57533</c:v>
                </c:pt>
                <c:pt idx="25">
                  <c:v>57693</c:v>
                </c:pt>
                <c:pt idx="26">
                  <c:v>57850</c:v>
                </c:pt>
                <c:pt idx="27">
                  <c:v>58002</c:v>
                </c:pt>
              </c:numCache>
            </c:numRef>
          </c:val>
        </c:ser>
        <c:marker val="1"/>
        <c:axId val="256653952"/>
        <c:axId val="256659840"/>
      </c:lineChart>
      <c:catAx>
        <c:axId val="256653952"/>
        <c:scaling>
          <c:orientation val="minMax"/>
        </c:scaling>
        <c:axPos val="b"/>
        <c:numFmt formatCode="General" sourceLinked="1"/>
        <c:majorTickMark val="in"/>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659840"/>
        <c:crosses val="autoZero"/>
        <c:auto val="1"/>
        <c:lblAlgn val="ctr"/>
        <c:lblOffset val="100"/>
        <c:tickLblSkip val="1"/>
      </c:catAx>
      <c:valAx>
        <c:axId val="256659840"/>
        <c:scaling>
          <c:orientation val="minMax"/>
          <c:min val="4000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653952"/>
        <c:crosses val="autoZero"/>
        <c:crossBetween val="between"/>
      </c:valAx>
      <c:spPr>
        <a:noFill/>
        <a:ln w="25400">
          <a:noFill/>
        </a:ln>
        <a:effectLst/>
      </c:spPr>
    </c:plotArea>
    <c:legend>
      <c:legendPos val="t"/>
      <c:layout>
        <c:manualLayout>
          <c:xMode val="edge"/>
          <c:yMode val="edge"/>
          <c:x val="0.23644903082766844"/>
          <c:y val="0.5244122778065915"/>
          <c:w val="0.42476777359351825"/>
          <c:h val="0.1950225533185596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plotArea>
      <c:layout>
        <c:manualLayout>
          <c:layoutTarget val="inner"/>
          <c:xMode val="edge"/>
          <c:yMode val="edge"/>
          <c:x val="8.8170264205933255E-2"/>
          <c:y val="5.7429830840522923E-2"/>
          <c:w val="0.72449534717251263"/>
          <c:h val="0.84210803151502955"/>
        </c:manualLayout>
      </c:layout>
      <c:lineChart>
        <c:grouping val="standard"/>
        <c:ser>
          <c:idx val="0"/>
          <c:order val="0"/>
          <c:tx>
            <c:v>Normalscenrio</c:v>
          </c:tx>
          <c:spPr>
            <a:ln w="28575" cap="rnd">
              <a:solidFill>
                <a:srgbClr val="C00000"/>
              </a:solidFill>
              <a:round/>
            </a:ln>
            <a:effectLst/>
          </c:spPr>
          <c:marker>
            <c:symbol val="none"/>
          </c:marker>
          <c:dLbls>
            <c:dLbl>
              <c:idx val="27"/>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Kommune!$E$22:$AF$22</c:f>
              <c:strCach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strCache>
            </c:strRef>
          </c:cat>
          <c:val>
            <c:numRef>
              <c:f>Kommune!$E$67:$AF$67</c:f>
              <c:numCache>
                <c:formatCode>0</c:formatCode>
                <c:ptCount val="28"/>
                <c:pt idx="0">
                  <c:v>20465</c:v>
                </c:pt>
                <c:pt idx="1">
                  <c:v>20470.29440771661</c:v>
                </c:pt>
                <c:pt idx="2">
                  <c:v>20464.626230021047</c:v>
                </c:pt>
                <c:pt idx="3">
                  <c:v>20431.788696709009</c:v>
                </c:pt>
                <c:pt idx="4">
                  <c:v>20396.77361515466</c:v>
                </c:pt>
                <c:pt idx="5">
                  <c:v>20331.291026710351</c:v>
                </c:pt>
                <c:pt idx="6">
                  <c:v>20249.66152143768</c:v>
                </c:pt>
                <c:pt idx="7">
                  <c:v>20157.911941816983</c:v>
                </c:pt>
                <c:pt idx="8">
                  <c:v>20048.86335186207</c:v>
                </c:pt>
                <c:pt idx="9">
                  <c:v>19940.988673220079</c:v>
                </c:pt>
                <c:pt idx="10">
                  <c:v>19836.427627670244</c:v>
                </c:pt>
                <c:pt idx="11">
                  <c:v>19731.985883457815</c:v>
                </c:pt>
                <c:pt idx="12">
                  <c:v>19627.585209111949</c:v>
                </c:pt>
                <c:pt idx="13">
                  <c:v>19526.07614096838</c:v>
                </c:pt>
                <c:pt idx="14">
                  <c:v>19411.802152855769</c:v>
                </c:pt>
                <c:pt idx="15">
                  <c:v>19301.032365385807</c:v>
                </c:pt>
                <c:pt idx="16">
                  <c:v>19185.960120912499</c:v>
                </c:pt>
                <c:pt idx="17">
                  <c:v>19053.688912355119</c:v>
                </c:pt>
                <c:pt idx="18">
                  <c:v>18921.034258239994</c:v>
                </c:pt>
                <c:pt idx="19">
                  <c:v>18779.937257291902</c:v>
                </c:pt>
                <c:pt idx="20">
                  <c:v>18637.457204669292</c:v>
                </c:pt>
                <c:pt idx="21">
                  <c:v>18492.393072735282</c:v>
                </c:pt>
                <c:pt idx="22">
                  <c:v>18345.857126280021</c:v>
                </c:pt>
                <c:pt idx="23">
                  <c:v>18196.44768470067</c:v>
                </c:pt>
                <c:pt idx="24">
                  <c:v>18046.843159708609</c:v>
                </c:pt>
                <c:pt idx="25">
                  <c:v>17902.676283547331</c:v>
                </c:pt>
                <c:pt idx="26">
                  <c:v>17760.664866250849</c:v>
                </c:pt>
                <c:pt idx="27">
                  <c:v>17615.123482239705</c:v>
                </c:pt>
              </c:numCache>
            </c:numRef>
          </c:val>
        </c:ser>
        <c:ser>
          <c:idx val="1"/>
          <c:order val="1"/>
          <c:tx>
            <c:v>Historisk</c:v>
          </c:tx>
          <c:spPr>
            <a:ln w="28575" cap="rnd">
              <a:solidFill>
                <a:schemeClr val="accent6"/>
              </a:solidFill>
              <a:round/>
            </a:ln>
            <a:effectLst/>
          </c:spPr>
          <c:marker>
            <c:symbol val="none"/>
          </c:marker>
          <c:dLbls>
            <c:dLbl>
              <c:idx val="27"/>
              <c:layout>
                <c:manualLayout>
                  <c:x val="0"/>
                  <c:y val="4.0133779264214048E-2"/>
                </c:manualLayout>
              </c:layout>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Kommune!$E$22:$AF$22</c:f>
              <c:strCach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strCache>
            </c:strRef>
          </c:cat>
          <c:val>
            <c:numRef>
              <c:f>Kommune!$AJ$67:$BK$67</c:f>
              <c:numCache>
                <c:formatCode>0.0</c:formatCode>
                <c:ptCount val="28"/>
                <c:pt idx="0" formatCode="0">
                  <c:v>20465</c:v>
                </c:pt>
                <c:pt idx="1">
                  <c:v>20403.2641126542</c:v>
                </c:pt>
                <c:pt idx="2" formatCode="0">
                  <c:v>20356.07958288354</c:v>
                </c:pt>
                <c:pt idx="3" formatCode="0">
                  <c:v>20288.143152434699</c:v>
                </c:pt>
                <c:pt idx="4" formatCode="0">
                  <c:v>20221.174730201117</c:v>
                </c:pt>
                <c:pt idx="5" formatCode="0">
                  <c:v>20126.561023177281</c:v>
                </c:pt>
                <c:pt idx="6" formatCode="0">
                  <c:v>20018.415308164189</c:v>
                </c:pt>
                <c:pt idx="7" formatCode="0">
                  <c:v>19902.716407806111</c:v>
                </c:pt>
                <c:pt idx="8" formatCode="0">
                  <c:v>19772.396087061661</c:v>
                </c:pt>
                <c:pt idx="9" formatCode="0">
                  <c:v>19645.666690693735</c:v>
                </c:pt>
                <c:pt idx="10" formatCode="0">
                  <c:v>19524.609181837382</c:v>
                </c:pt>
                <c:pt idx="11" formatCode="0">
                  <c:v>19405.968431630325</c:v>
                </c:pt>
                <c:pt idx="12" formatCode="0">
                  <c:v>19289.596445514329</c:v>
                </c:pt>
                <c:pt idx="13" formatCode="0">
                  <c:v>19178.293804597106</c:v>
                </c:pt>
                <c:pt idx="14" formatCode="0">
                  <c:v>19056.501858267209</c:v>
                </c:pt>
                <c:pt idx="15" formatCode="0">
                  <c:v>18940.281067666772</c:v>
                </c:pt>
                <c:pt idx="16" formatCode="0">
                  <c:v>18821.738658531343</c:v>
                </c:pt>
                <c:pt idx="17" formatCode="0">
                  <c:v>18688.293370020059</c:v>
                </c:pt>
                <c:pt idx="18" formatCode="0">
                  <c:v>18556.353109180596</c:v>
                </c:pt>
                <c:pt idx="19" formatCode="0">
                  <c:v>18417.985898298131</c:v>
                </c:pt>
                <c:pt idx="20" formatCode="0">
                  <c:v>18279.99099180082</c:v>
                </c:pt>
                <c:pt idx="21" formatCode="0">
                  <c:v>18141.075758899708</c:v>
                </c:pt>
                <c:pt idx="22" formatCode="0">
                  <c:v>18002.288898731753</c:v>
                </c:pt>
                <c:pt idx="23" formatCode="0">
                  <c:v>17862.147816405621</c:v>
                </c:pt>
                <c:pt idx="24" formatCode="0">
                  <c:v>17723.295763396152</c:v>
                </c:pt>
                <c:pt idx="25" formatCode="0">
                  <c:v>17591.103268970382</c:v>
                </c:pt>
                <c:pt idx="26" formatCode="0">
                  <c:v>17462.472365594425</c:v>
                </c:pt>
                <c:pt idx="27" formatCode="0">
                  <c:v>17331.596173063321</c:v>
                </c:pt>
              </c:numCache>
            </c:numRef>
          </c:val>
        </c:ser>
        <c:marker val="1"/>
        <c:axId val="256705664"/>
        <c:axId val="256707200"/>
      </c:lineChart>
      <c:catAx>
        <c:axId val="256705664"/>
        <c:scaling>
          <c:orientation val="minMax"/>
        </c:scaling>
        <c:axPos val="b"/>
        <c:numFmt formatCode="General" sourceLinked="1"/>
        <c:majorTickMark val="in"/>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707200"/>
        <c:crosses val="autoZero"/>
        <c:auto val="1"/>
        <c:lblAlgn val="ctr"/>
        <c:lblOffset val="100"/>
        <c:tickLblSkip val="1"/>
      </c:catAx>
      <c:valAx>
        <c:axId val="25670720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705664"/>
        <c:crosses val="autoZero"/>
        <c:crossBetween val="between"/>
      </c:valAx>
      <c:spPr>
        <a:noFill/>
        <a:ln>
          <a:noFill/>
        </a:ln>
        <a:effectLst/>
      </c:spPr>
    </c:plotArea>
    <c:legend>
      <c:legendPos val="t"/>
      <c:layout>
        <c:manualLayout>
          <c:xMode val="edge"/>
          <c:yMode val="edge"/>
          <c:x val="0.2608210039412997"/>
          <c:y val="0.54314390806518831"/>
          <c:w val="0.39198266145593463"/>
          <c:h val="0.1680799108278532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plotArea>
      <c:layout>
        <c:manualLayout>
          <c:layoutTarget val="inner"/>
          <c:xMode val="edge"/>
          <c:yMode val="edge"/>
          <c:x val="8.8170264205933255E-2"/>
          <c:y val="5.7429830840522923E-2"/>
          <c:w val="0.73941474706965959"/>
          <c:h val="0.87020155973326296"/>
        </c:manualLayout>
      </c:layout>
      <c:lineChart>
        <c:grouping val="standard"/>
        <c:ser>
          <c:idx val="0"/>
          <c:order val="0"/>
          <c:tx>
            <c:v>Normalscenario</c:v>
          </c:tx>
          <c:spPr>
            <a:ln w="28575" cap="rnd">
              <a:solidFill>
                <a:srgbClr val="C00000"/>
              </a:solidFill>
              <a:round/>
            </a:ln>
            <a:effectLst/>
          </c:spPr>
          <c:marker>
            <c:symbol val="none"/>
          </c:marker>
          <c:dLbls>
            <c:dLbl>
              <c:idx val="27"/>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Kommune!$E$22:$AF$22</c:f>
              <c:strCach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strCache>
            </c:strRef>
          </c:cat>
          <c:val>
            <c:numRef>
              <c:f>Kommune!$E$74:$AF$74</c:f>
              <c:numCache>
                <c:formatCode>General</c:formatCode>
                <c:ptCount val="28"/>
                <c:pt idx="0" formatCode="#,##0">
                  <c:v>53339</c:v>
                </c:pt>
                <c:pt idx="1">
                  <c:v>53318</c:v>
                </c:pt>
                <c:pt idx="2" formatCode="0">
                  <c:v>53256.396672802148</c:v>
                </c:pt>
                <c:pt idx="3" formatCode="0">
                  <c:v>53163.972251896856</c:v>
                </c:pt>
                <c:pt idx="4" formatCode="0">
                  <c:v>53062.515437458642</c:v>
                </c:pt>
                <c:pt idx="5" formatCode="0">
                  <c:v>52953.884341015109</c:v>
                </c:pt>
                <c:pt idx="6" formatCode="0">
                  <c:v>52804.107585619204</c:v>
                </c:pt>
                <c:pt idx="7" formatCode="0">
                  <c:v>52643.655352186302</c:v>
                </c:pt>
                <c:pt idx="8" formatCode="0">
                  <c:v>52486.685666172605</c:v>
                </c:pt>
                <c:pt idx="9" formatCode="0">
                  <c:v>52326.001899977491</c:v>
                </c:pt>
                <c:pt idx="10" formatCode="0">
                  <c:v>52173.736485593763</c:v>
                </c:pt>
                <c:pt idx="11" formatCode="0">
                  <c:v>52015.964694494956</c:v>
                </c:pt>
                <c:pt idx="12" formatCode="0">
                  <c:v>51850.396965990665</c:v>
                </c:pt>
                <c:pt idx="13" formatCode="0">
                  <c:v>51689.965155239654</c:v>
                </c:pt>
                <c:pt idx="14" formatCode="0">
                  <c:v>51502.158315635192</c:v>
                </c:pt>
                <c:pt idx="15" formatCode="0">
                  <c:v>51318.278256000202</c:v>
                </c:pt>
                <c:pt idx="16" formatCode="0">
                  <c:v>51099.550942956666</c:v>
                </c:pt>
                <c:pt idx="17" formatCode="0">
                  <c:v>50875.947975600116</c:v>
                </c:pt>
                <c:pt idx="18" formatCode="0">
                  <c:v>50634.712061826234</c:v>
                </c:pt>
                <c:pt idx="19" formatCode="0">
                  <c:v>50382.855228232445</c:v>
                </c:pt>
                <c:pt idx="20" formatCode="0">
                  <c:v>50108.913134608592</c:v>
                </c:pt>
                <c:pt idx="21" formatCode="0">
                  <c:v>49808.873243908121</c:v>
                </c:pt>
                <c:pt idx="22" formatCode="0">
                  <c:v>49487.940052448794</c:v>
                </c:pt>
                <c:pt idx="23" formatCode="0">
                  <c:v>49140.806141311215</c:v>
                </c:pt>
                <c:pt idx="24" formatCode="0">
                  <c:v>48781.024848382753</c:v>
                </c:pt>
                <c:pt idx="25" formatCode="0">
                  <c:v>48393.044168225533</c:v>
                </c:pt>
                <c:pt idx="26" formatCode="0">
                  <c:v>48006.007193716003</c:v>
                </c:pt>
                <c:pt idx="27" formatCode="0">
                  <c:v>47593.211551548586</c:v>
                </c:pt>
              </c:numCache>
            </c:numRef>
          </c:val>
        </c:ser>
        <c:ser>
          <c:idx val="1"/>
          <c:order val="1"/>
          <c:tx>
            <c:v>Historisk</c:v>
          </c:tx>
          <c:spPr>
            <a:ln w="28575" cap="rnd">
              <a:solidFill>
                <a:schemeClr val="accent6"/>
              </a:solidFill>
              <a:round/>
            </a:ln>
            <a:effectLst/>
          </c:spPr>
          <c:marker>
            <c:symbol val="none"/>
          </c:marker>
          <c:dLbls>
            <c:dLbl>
              <c:idx val="27"/>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Kommune!$E$22:$AF$22</c:f>
              <c:strCach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strCache>
            </c:strRef>
          </c:cat>
          <c:val>
            <c:numRef>
              <c:f>Kommune!$AJ$74:$BK$74</c:f>
              <c:numCache>
                <c:formatCode>General</c:formatCode>
                <c:ptCount val="28"/>
                <c:pt idx="0" formatCode="#,##0">
                  <c:v>53339</c:v>
                </c:pt>
                <c:pt idx="1">
                  <c:v>53318</c:v>
                </c:pt>
                <c:pt idx="2" formatCode="0">
                  <c:v>53366.218300239736</c:v>
                </c:pt>
                <c:pt idx="3" formatCode="0">
                  <c:v>53403.312017531112</c:v>
                </c:pt>
                <c:pt idx="4" formatCode="0">
                  <c:v>53436.035605529622</c:v>
                </c:pt>
                <c:pt idx="5" formatCode="0">
                  <c:v>53463.688105375782</c:v>
                </c:pt>
                <c:pt idx="6" formatCode="0">
                  <c:v>53451.485279382345</c:v>
                </c:pt>
                <c:pt idx="7" formatCode="0">
                  <c:v>53429.811729358211</c:v>
                </c:pt>
                <c:pt idx="8" formatCode="0">
                  <c:v>53412.93839124978</c:v>
                </c:pt>
                <c:pt idx="9" formatCode="0">
                  <c:v>53393.580699265069</c:v>
                </c:pt>
                <c:pt idx="10" formatCode="0">
                  <c:v>53384.06417908462</c:v>
                </c:pt>
                <c:pt idx="11" formatCode="0">
                  <c:v>53370.223089192405</c:v>
                </c:pt>
                <c:pt idx="12" formatCode="0">
                  <c:v>53349.608426074963</c:v>
                </c:pt>
                <c:pt idx="13" formatCode="0">
                  <c:v>53335.428166223675</c:v>
                </c:pt>
                <c:pt idx="14" formatCode="0">
                  <c:v>53294.207063850932</c:v>
                </c:pt>
                <c:pt idx="15" formatCode="0">
                  <c:v>53257.972379196297</c:v>
                </c:pt>
                <c:pt idx="16" formatCode="0">
                  <c:v>53186.600328887034</c:v>
                </c:pt>
                <c:pt idx="17" formatCode="0">
                  <c:v>53110.800669709635</c:v>
                </c:pt>
                <c:pt idx="18" formatCode="0">
                  <c:v>53017.284302061453</c:v>
                </c:pt>
                <c:pt idx="19" formatCode="0">
                  <c:v>52913.166576189891</c:v>
                </c:pt>
                <c:pt idx="20" formatCode="0">
                  <c:v>52786.301447929676</c:v>
                </c:pt>
                <c:pt idx="21" formatCode="0">
                  <c:v>52632.161244915202</c:v>
                </c:pt>
                <c:pt idx="22" formatCode="0">
                  <c:v>52455.907966727966</c:v>
                </c:pt>
                <c:pt idx="23" formatCode="0">
                  <c:v>52251.685729413832</c:v>
                </c:pt>
                <c:pt idx="24" formatCode="0">
                  <c:v>52033.561082414104</c:v>
                </c:pt>
                <c:pt idx="25" formatCode="0">
                  <c:v>51784.837821189423</c:v>
                </c:pt>
                <c:pt idx="26" formatCode="0">
                  <c:v>51536.276675990048</c:v>
                </c:pt>
                <c:pt idx="27" formatCode="0">
                  <c:v>51259.325294720809</c:v>
                </c:pt>
              </c:numCache>
            </c:numRef>
          </c:val>
        </c:ser>
        <c:ser>
          <c:idx val="4"/>
          <c:order val="2"/>
          <c:tx>
            <c:v>MMMM</c:v>
          </c:tx>
          <c:spPr>
            <a:ln w="28575" cap="rnd">
              <a:solidFill>
                <a:schemeClr val="accent4"/>
              </a:solidFill>
              <a:round/>
            </a:ln>
            <a:effectLst/>
          </c:spPr>
          <c:marker>
            <c:symbol val="none"/>
          </c:marker>
          <c:dLbls>
            <c:dLbl>
              <c:idx val="27"/>
              <c:layout>
                <c:manualLayout>
                  <c:x val="0"/>
                  <c:y val="-5.5888223552894231E-2"/>
                </c:manualLayout>
              </c:layout>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Kommune!$E$12:$AF$12</c:f>
              <c:numCache>
                <c:formatCode>0.00</c:formatCode>
                <c:ptCount val="28"/>
                <c:pt idx="0" formatCode="#,##0">
                  <c:v>53339</c:v>
                </c:pt>
                <c:pt idx="1">
                  <c:v>53318</c:v>
                </c:pt>
                <c:pt idx="2">
                  <c:v>53412</c:v>
                </c:pt>
                <c:pt idx="3">
                  <c:v>53526</c:v>
                </c:pt>
                <c:pt idx="4">
                  <c:v>53660</c:v>
                </c:pt>
                <c:pt idx="5">
                  <c:v>53800</c:v>
                </c:pt>
                <c:pt idx="6">
                  <c:v>53938</c:v>
                </c:pt>
                <c:pt idx="7">
                  <c:v>54100</c:v>
                </c:pt>
                <c:pt idx="8">
                  <c:v>54265</c:v>
                </c:pt>
                <c:pt idx="9">
                  <c:v>54446</c:v>
                </c:pt>
                <c:pt idx="10">
                  <c:v>54642</c:v>
                </c:pt>
                <c:pt idx="11">
                  <c:v>54850</c:v>
                </c:pt>
                <c:pt idx="12">
                  <c:v>55056</c:v>
                </c:pt>
                <c:pt idx="13">
                  <c:v>55292</c:v>
                </c:pt>
                <c:pt idx="14">
                  <c:v>55512</c:v>
                </c:pt>
                <c:pt idx="15">
                  <c:v>55755</c:v>
                </c:pt>
                <c:pt idx="16">
                  <c:v>55964</c:v>
                </c:pt>
                <c:pt idx="17">
                  <c:v>56189</c:v>
                </c:pt>
                <c:pt idx="18">
                  <c:v>56395</c:v>
                </c:pt>
                <c:pt idx="19">
                  <c:v>56618</c:v>
                </c:pt>
                <c:pt idx="20">
                  <c:v>56804</c:v>
                </c:pt>
                <c:pt idx="21">
                  <c:v>56989</c:v>
                </c:pt>
                <c:pt idx="22">
                  <c:v>57188</c:v>
                </c:pt>
                <c:pt idx="23">
                  <c:v>57371</c:v>
                </c:pt>
                <c:pt idx="24">
                  <c:v>57533</c:v>
                </c:pt>
                <c:pt idx="25">
                  <c:v>57693</c:v>
                </c:pt>
                <c:pt idx="26">
                  <c:v>57850</c:v>
                </c:pt>
                <c:pt idx="27">
                  <c:v>58002</c:v>
                </c:pt>
              </c:numCache>
            </c:numRef>
          </c:val>
        </c:ser>
        <c:ser>
          <c:idx val="5"/>
          <c:order val="3"/>
          <c:tx>
            <c:v>Høyvekstscenario</c:v>
          </c:tx>
          <c:spPr>
            <a:ln w="28575" cap="rnd">
              <a:solidFill>
                <a:schemeClr val="accent3">
                  <a:lumMod val="75000"/>
                </a:schemeClr>
              </a:solidFill>
              <a:round/>
            </a:ln>
            <a:effectLst/>
          </c:spPr>
          <c:marker>
            <c:symbol val="none"/>
          </c:marker>
          <c:dLbls>
            <c:dLbl>
              <c:idx val="0"/>
              <c:layout>
                <c:manualLayout>
                  <c:x val="7.2351411374743319E-3"/>
                  <c:y val="5.2173924951255307E-2"/>
                </c:manualLayout>
              </c:layout>
              <c:showVal val="1"/>
              <c:extLst>
                <c:ext xmlns:c15="http://schemas.microsoft.com/office/drawing/2012/chart" uri="{CE6537A1-D6FC-4f65-9D91-7224C49458BB}">
                  <c15:layout/>
                </c:ext>
              </c:extLst>
            </c:dLbl>
            <c:dLbl>
              <c:idx val="6"/>
              <c:layout>
                <c:manualLayout>
                  <c:x val="-3.1352284216147365E-2"/>
                  <c:y val="-4.9275373565074387E-2"/>
                </c:manualLayout>
              </c:layout>
              <c:showVal val="1"/>
              <c:extLst>
                <c:ext xmlns:c15="http://schemas.microsoft.com/office/drawing/2012/chart" uri="{CE6537A1-D6FC-4f65-9D91-7224C49458BB}">
                  <c15:layout/>
                </c:ext>
              </c:extLst>
            </c:dLbl>
            <c:dLbl>
              <c:idx val="16"/>
              <c:layout>
                <c:manualLayout>
                  <c:x val="-3.8587419399863175E-2"/>
                  <c:y val="-6.3768130495978681E-2"/>
                </c:manualLayout>
              </c:layout>
              <c:showVal val="1"/>
              <c:extLst>
                <c:ext xmlns:c15="http://schemas.microsoft.com/office/drawing/2012/chart" uri="{CE6537A1-D6FC-4f65-9D91-7224C49458BB}">
                  <c15:layout/>
                </c:ext>
              </c:extLst>
            </c:dLbl>
            <c:dLbl>
              <c:idx val="27"/>
              <c:layout>
                <c:manualLayout>
                  <c:x val="-3.4130516294158877E-3"/>
                  <c:y val="5.8490892231285478E-3"/>
                </c:manualLayout>
              </c:layout>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Kommune!$E$136:$AF$136</c:f>
              <c:numCache>
                <c:formatCode>General</c:formatCode>
                <c:ptCount val="28"/>
                <c:pt idx="0" formatCode="#,##0">
                  <c:v>53339</c:v>
                </c:pt>
                <c:pt idx="1">
                  <c:v>53318</c:v>
                </c:pt>
                <c:pt idx="2" formatCode="0">
                  <c:v>53564.100869684058</c:v>
                </c:pt>
                <c:pt idx="3" formatCode="0">
                  <c:v>53831.13895631893</c:v>
                </c:pt>
                <c:pt idx="4" formatCode="0">
                  <c:v>54098.349006139317</c:v>
                </c:pt>
                <c:pt idx="5" formatCode="0">
                  <c:v>54360.407138976363</c:v>
                </c:pt>
                <c:pt idx="6" formatCode="0">
                  <c:v>54581.124829130837</c:v>
                </c:pt>
                <c:pt idx="7" formatCode="0">
                  <c:v>54790.912682616108</c:v>
                </c:pt>
                <c:pt idx="8" formatCode="0">
                  <c:v>55004.250865897091</c:v>
                </c:pt>
                <c:pt idx="9" formatCode="0">
                  <c:v>55213.683303037244</c:v>
                </c:pt>
                <c:pt idx="10" formatCode="0">
                  <c:v>55431.926474906948</c:v>
                </c:pt>
                <c:pt idx="11" formatCode="0">
                  <c:v>55644.389038245339</c:v>
                </c:pt>
                <c:pt idx="12" formatCode="0">
                  <c:v>55848.484493548232</c:v>
                </c:pt>
                <c:pt idx="13" formatCode="0">
                  <c:v>56057.964336144469</c:v>
                </c:pt>
                <c:pt idx="14" formatCode="0">
                  <c:v>56237.716798754911</c:v>
                </c:pt>
                <c:pt idx="15" formatCode="0">
                  <c:v>56421.241174235838</c:v>
                </c:pt>
                <c:pt idx="16" formatCode="0">
                  <c:v>56566.062527909286</c:v>
                </c:pt>
                <c:pt idx="17" formatCode="0">
                  <c:v>56704.45342994816</c:v>
                </c:pt>
                <c:pt idx="18" formatCode="0">
                  <c:v>56822.151864104002</c:v>
                </c:pt>
                <c:pt idx="19" formatCode="0">
                  <c:v>56926.567922469076</c:v>
                </c:pt>
                <c:pt idx="20" formatCode="0">
                  <c:v>57004.505683446943</c:v>
                </c:pt>
                <c:pt idx="21" formatCode="0">
                  <c:v>57050.805995458548</c:v>
                </c:pt>
                <c:pt idx="22" formatCode="0">
                  <c:v>57070.740868095418</c:v>
                </c:pt>
                <c:pt idx="23" formatCode="0">
                  <c:v>57057.672169983154</c:v>
                </c:pt>
                <c:pt idx="24" formatCode="0">
                  <c:v>57026.627067883805</c:v>
                </c:pt>
                <c:pt idx="25" formatCode="0">
                  <c:v>56959.141524176113</c:v>
                </c:pt>
                <c:pt idx="26" formatCode="0">
                  <c:v>56888.684202991382</c:v>
                </c:pt>
                <c:pt idx="27" formatCode="0">
                  <c:v>56783.766791110669</c:v>
                </c:pt>
              </c:numCache>
            </c:numRef>
          </c:val>
        </c:ser>
        <c:marker val="1"/>
        <c:axId val="256784256"/>
        <c:axId val="256785792"/>
      </c:lineChart>
      <c:catAx>
        <c:axId val="256784256"/>
        <c:scaling>
          <c:orientation val="minMax"/>
        </c:scaling>
        <c:axPos val="b"/>
        <c:numFmt formatCode="General" sourceLinked="1"/>
        <c:majorTickMark val="in"/>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785792"/>
        <c:crosses val="autoZero"/>
        <c:auto val="1"/>
        <c:lblAlgn val="ctr"/>
        <c:lblOffset val="100"/>
        <c:tickLblSkip val="1"/>
      </c:catAx>
      <c:valAx>
        <c:axId val="256785792"/>
        <c:scaling>
          <c:orientation val="minMax"/>
          <c:min val="4000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784256"/>
        <c:crosses val="autoZero"/>
        <c:crossBetween val="between"/>
      </c:valAx>
      <c:spPr>
        <a:noFill/>
        <a:ln w="25400">
          <a:noFill/>
        </a:ln>
        <a:effectLst/>
      </c:spPr>
    </c:plotArea>
    <c:legend>
      <c:legendPos val="t"/>
      <c:layout>
        <c:manualLayout>
          <c:xMode val="edge"/>
          <c:yMode val="edge"/>
          <c:x val="0.23644903082766844"/>
          <c:y val="0.5244122778065915"/>
          <c:w val="0.42476777359351825"/>
          <c:h val="0.1950225533185596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plotArea>
      <c:layout>
        <c:manualLayout>
          <c:layoutTarget val="inner"/>
          <c:xMode val="edge"/>
          <c:yMode val="edge"/>
          <c:x val="8.8170264205933255E-2"/>
          <c:y val="5.7429830840522923E-2"/>
          <c:w val="0.72449534717251263"/>
          <c:h val="0.84210803151502955"/>
        </c:manualLayout>
      </c:layout>
      <c:lineChart>
        <c:grouping val="standard"/>
        <c:ser>
          <c:idx val="0"/>
          <c:order val="0"/>
          <c:tx>
            <c:v>Normalscenrio</c:v>
          </c:tx>
          <c:spPr>
            <a:ln w="28575" cap="rnd">
              <a:solidFill>
                <a:srgbClr val="C00000"/>
              </a:solidFill>
              <a:round/>
            </a:ln>
            <a:effectLst/>
          </c:spPr>
          <c:marker>
            <c:symbol val="none"/>
          </c:marker>
          <c:dLbls>
            <c:dLbl>
              <c:idx val="27"/>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Kommune!$E$22:$AF$22</c:f>
              <c:strCach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strCache>
            </c:strRef>
          </c:cat>
          <c:val>
            <c:numRef>
              <c:f>Kommune!$E$67:$AF$67</c:f>
              <c:numCache>
                <c:formatCode>0</c:formatCode>
                <c:ptCount val="28"/>
                <c:pt idx="0">
                  <c:v>20465</c:v>
                </c:pt>
                <c:pt idx="1">
                  <c:v>20470.29440771661</c:v>
                </c:pt>
                <c:pt idx="2">
                  <c:v>20464.626230021047</c:v>
                </c:pt>
                <c:pt idx="3">
                  <c:v>20431.788696709009</c:v>
                </c:pt>
                <c:pt idx="4">
                  <c:v>20396.77361515466</c:v>
                </c:pt>
                <c:pt idx="5">
                  <c:v>20331.291026710351</c:v>
                </c:pt>
                <c:pt idx="6">
                  <c:v>20249.66152143768</c:v>
                </c:pt>
                <c:pt idx="7">
                  <c:v>20157.911941816983</c:v>
                </c:pt>
                <c:pt idx="8">
                  <c:v>20048.86335186207</c:v>
                </c:pt>
                <c:pt idx="9">
                  <c:v>19940.988673220079</c:v>
                </c:pt>
                <c:pt idx="10">
                  <c:v>19836.427627670244</c:v>
                </c:pt>
                <c:pt idx="11">
                  <c:v>19731.985883457815</c:v>
                </c:pt>
                <c:pt idx="12">
                  <c:v>19627.585209111949</c:v>
                </c:pt>
                <c:pt idx="13">
                  <c:v>19526.07614096838</c:v>
                </c:pt>
                <c:pt idx="14">
                  <c:v>19411.802152855769</c:v>
                </c:pt>
                <c:pt idx="15">
                  <c:v>19301.032365385807</c:v>
                </c:pt>
                <c:pt idx="16">
                  <c:v>19185.960120912499</c:v>
                </c:pt>
                <c:pt idx="17">
                  <c:v>19053.688912355119</c:v>
                </c:pt>
                <c:pt idx="18">
                  <c:v>18921.034258239994</c:v>
                </c:pt>
                <c:pt idx="19">
                  <c:v>18779.937257291902</c:v>
                </c:pt>
                <c:pt idx="20">
                  <c:v>18637.457204669292</c:v>
                </c:pt>
                <c:pt idx="21">
                  <c:v>18492.393072735282</c:v>
                </c:pt>
                <c:pt idx="22">
                  <c:v>18345.857126280021</c:v>
                </c:pt>
                <c:pt idx="23">
                  <c:v>18196.44768470067</c:v>
                </c:pt>
                <c:pt idx="24">
                  <c:v>18046.843159708609</c:v>
                </c:pt>
                <c:pt idx="25">
                  <c:v>17902.676283547331</c:v>
                </c:pt>
                <c:pt idx="26">
                  <c:v>17760.664866250849</c:v>
                </c:pt>
                <c:pt idx="27">
                  <c:v>17615.123482239705</c:v>
                </c:pt>
              </c:numCache>
            </c:numRef>
          </c:val>
        </c:ser>
        <c:ser>
          <c:idx val="1"/>
          <c:order val="1"/>
          <c:tx>
            <c:v>Historisk</c:v>
          </c:tx>
          <c:spPr>
            <a:ln w="28575" cap="rnd">
              <a:solidFill>
                <a:schemeClr val="accent6"/>
              </a:solidFill>
              <a:round/>
            </a:ln>
            <a:effectLst/>
          </c:spPr>
          <c:marker>
            <c:symbol val="none"/>
          </c:marker>
          <c:dLbls>
            <c:dLbl>
              <c:idx val="27"/>
              <c:layout>
                <c:manualLayout>
                  <c:x val="0"/>
                  <c:y val="4.0133779264214048E-2"/>
                </c:manualLayout>
              </c:layout>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Kommune!$E$22:$AF$22</c:f>
              <c:strCach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strCache>
            </c:strRef>
          </c:cat>
          <c:val>
            <c:numRef>
              <c:f>Kommune!$AJ$67:$BK$67</c:f>
              <c:numCache>
                <c:formatCode>0.0</c:formatCode>
                <c:ptCount val="28"/>
                <c:pt idx="0" formatCode="0">
                  <c:v>20465</c:v>
                </c:pt>
                <c:pt idx="1">
                  <c:v>20403.2641126542</c:v>
                </c:pt>
                <c:pt idx="2" formatCode="0">
                  <c:v>20356.07958288354</c:v>
                </c:pt>
                <c:pt idx="3" formatCode="0">
                  <c:v>20288.143152434699</c:v>
                </c:pt>
                <c:pt idx="4" formatCode="0">
                  <c:v>20221.174730201117</c:v>
                </c:pt>
                <c:pt idx="5" formatCode="0">
                  <c:v>20126.561023177281</c:v>
                </c:pt>
                <c:pt idx="6" formatCode="0">
                  <c:v>20018.415308164189</c:v>
                </c:pt>
                <c:pt idx="7" formatCode="0">
                  <c:v>19902.716407806111</c:v>
                </c:pt>
                <c:pt idx="8" formatCode="0">
                  <c:v>19772.396087061661</c:v>
                </c:pt>
                <c:pt idx="9" formatCode="0">
                  <c:v>19645.666690693735</c:v>
                </c:pt>
                <c:pt idx="10" formatCode="0">
                  <c:v>19524.609181837382</c:v>
                </c:pt>
                <c:pt idx="11" formatCode="0">
                  <c:v>19405.968431630325</c:v>
                </c:pt>
                <c:pt idx="12" formatCode="0">
                  <c:v>19289.596445514329</c:v>
                </c:pt>
                <c:pt idx="13" formatCode="0">
                  <c:v>19178.293804597106</c:v>
                </c:pt>
                <c:pt idx="14" formatCode="0">
                  <c:v>19056.501858267209</c:v>
                </c:pt>
                <c:pt idx="15" formatCode="0">
                  <c:v>18940.281067666772</c:v>
                </c:pt>
                <c:pt idx="16" formatCode="0">
                  <c:v>18821.738658531343</c:v>
                </c:pt>
                <c:pt idx="17" formatCode="0">
                  <c:v>18688.293370020059</c:v>
                </c:pt>
                <c:pt idx="18" formatCode="0">
                  <c:v>18556.353109180596</c:v>
                </c:pt>
                <c:pt idx="19" formatCode="0">
                  <c:v>18417.985898298131</c:v>
                </c:pt>
                <c:pt idx="20" formatCode="0">
                  <c:v>18279.99099180082</c:v>
                </c:pt>
                <c:pt idx="21" formatCode="0">
                  <c:v>18141.075758899708</c:v>
                </c:pt>
                <c:pt idx="22" formatCode="0">
                  <c:v>18002.288898731753</c:v>
                </c:pt>
                <c:pt idx="23" formatCode="0">
                  <c:v>17862.147816405621</c:v>
                </c:pt>
                <c:pt idx="24" formatCode="0">
                  <c:v>17723.295763396152</c:v>
                </c:pt>
                <c:pt idx="25" formatCode="0">
                  <c:v>17591.103268970382</c:v>
                </c:pt>
                <c:pt idx="26" formatCode="0">
                  <c:v>17462.472365594425</c:v>
                </c:pt>
                <c:pt idx="27" formatCode="0">
                  <c:v>17331.596173063321</c:v>
                </c:pt>
              </c:numCache>
            </c:numRef>
          </c:val>
        </c:ser>
        <c:ser>
          <c:idx val="5"/>
          <c:order val="2"/>
          <c:tx>
            <c:v>Høyvekstscenario</c:v>
          </c:tx>
          <c:spPr>
            <a:ln w="28575" cap="rnd">
              <a:solidFill>
                <a:schemeClr val="accent3">
                  <a:lumMod val="75000"/>
                </a:schemeClr>
              </a:solidFill>
              <a:round/>
            </a:ln>
            <a:effectLst/>
          </c:spPr>
          <c:marker>
            <c:symbol val="none"/>
          </c:marker>
          <c:dLbls>
            <c:dLbl>
              <c:idx val="0"/>
              <c:layout>
                <c:manualLayout>
                  <c:x val="0"/>
                  <c:y val="6.555185097338477E-2"/>
                </c:manualLayout>
              </c:layout>
              <c:showVal val="1"/>
              <c:extLst>
                <c:ext xmlns:c15="http://schemas.microsoft.com/office/drawing/2012/chart" uri="{CE6537A1-D6FC-4f65-9D91-7224C49458BB}">
                  <c15:layout/>
                </c:ext>
              </c:extLst>
            </c:dLbl>
            <c:dLbl>
              <c:idx val="6"/>
              <c:layout>
                <c:manualLayout>
                  <c:x val="-4.3187665330733281E-2"/>
                  <c:y val="-5.3065784121311528E-2"/>
                </c:manualLayout>
              </c:layout>
              <c:showVal val="1"/>
              <c:extLst>
                <c:ext xmlns:c15="http://schemas.microsoft.com/office/drawing/2012/chart" uri="{CE6537A1-D6FC-4f65-9D91-7224C49458BB}">
                  <c15:layout/>
                </c:ext>
              </c:extLst>
            </c:dLbl>
            <c:dLbl>
              <c:idx val="16"/>
              <c:layout>
                <c:manualLayout>
                  <c:x val="-4.5586971458928593E-2"/>
                  <c:y val="-8.4280951251494735E-2"/>
                </c:manualLayout>
              </c:layout>
              <c:showVal val="1"/>
              <c:extLst>
                <c:ext xmlns:c15="http://schemas.microsoft.com/office/drawing/2012/chart" uri="{CE6537A1-D6FC-4f65-9D91-7224C49458BB}">
                  <c15:layout/>
                </c:ext>
              </c:extLst>
            </c:dLbl>
            <c:dLbl>
              <c:idx val="27"/>
              <c:layout>
                <c:manualLayout>
                  <c:x val="-2.8791771447744537E-2"/>
                  <c:y val="-6.2430334260366482E-2"/>
                </c:manualLayout>
              </c:layout>
              <c:showVal val="1"/>
              <c:extLst>
                <c:ext xmlns:c15="http://schemas.microsoft.com/office/drawing/2012/chart" uri="{CE6537A1-D6FC-4f65-9D91-7224C49458BB}">
                  <c15:layout/>
                </c:ext>
              </c:extLst>
            </c:dLbl>
            <c:delete val="1"/>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Kommune!$E$129:$AF$129</c:f>
              <c:numCache>
                <c:formatCode>0</c:formatCode>
                <c:ptCount val="28"/>
                <c:pt idx="0">
                  <c:v>20465</c:v>
                </c:pt>
                <c:pt idx="1">
                  <c:v>20591.474407716611</c:v>
                </c:pt>
                <c:pt idx="2">
                  <c:v>20773.084710843061</c:v>
                </c:pt>
                <c:pt idx="3">
                  <c:v>20939.229508577679</c:v>
                </c:pt>
                <c:pt idx="4">
                  <c:v>21105.754808209469</c:v>
                </c:pt>
                <c:pt idx="5">
                  <c:v>21241.830140905229</c:v>
                </c:pt>
                <c:pt idx="6">
                  <c:v>21361.233299246032</c:v>
                </c:pt>
                <c:pt idx="7">
                  <c:v>21469.799912667306</c:v>
                </c:pt>
                <c:pt idx="8">
                  <c:v>21559.589137211959</c:v>
                </c:pt>
                <c:pt idx="9">
                  <c:v>21649.924225152998</c:v>
                </c:pt>
                <c:pt idx="10">
                  <c:v>21743.184454684029</c:v>
                </c:pt>
                <c:pt idx="11">
                  <c:v>21835.943382636688</c:v>
                </c:pt>
                <c:pt idx="12">
                  <c:v>21928.105534508311</c:v>
                </c:pt>
                <c:pt idx="13">
                  <c:v>22022.895473033441</c:v>
                </c:pt>
                <c:pt idx="14">
                  <c:v>22102.651295005217</c:v>
                </c:pt>
                <c:pt idx="15">
                  <c:v>22185.573741563094</c:v>
                </c:pt>
                <c:pt idx="16">
                  <c:v>22262.646238736739</c:v>
                </c:pt>
                <c:pt idx="17">
                  <c:v>22318.8560611342</c:v>
                </c:pt>
                <c:pt idx="18">
                  <c:v>22373.264648858247</c:v>
                </c:pt>
                <c:pt idx="19">
                  <c:v>22416.335546662769</c:v>
                </c:pt>
                <c:pt idx="20">
                  <c:v>22456.108593917619</c:v>
                </c:pt>
                <c:pt idx="21">
                  <c:v>22490.991149817073</c:v>
                </c:pt>
                <c:pt idx="22">
                  <c:v>22522.22373774372</c:v>
                </c:pt>
                <c:pt idx="23">
                  <c:v>22547.930021737811</c:v>
                </c:pt>
                <c:pt idx="24">
                  <c:v>22571.371567837657</c:v>
                </c:pt>
                <c:pt idx="25">
                  <c:v>22599.39739452807</c:v>
                </c:pt>
                <c:pt idx="26">
                  <c:v>22628.254730391858</c:v>
                </c:pt>
                <c:pt idx="27">
                  <c:v>22650.493455364125</c:v>
                </c:pt>
              </c:numCache>
            </c:numRef>
          </c:val>
        </c:ser>
        <c:marker val="1"/>
        <c:axId val="256878080"/>
        <c:axId val="256879616"/>
      </c:lineChart>
      <c:catAx>
        <c:axId val="256878080"/>
        <c:scaling>
          <c:orientation val="minMax"/>
        </c:scaling>
        <c:axPos val="b"/>
        <c:numFmt formatCode="General" sourceLinked="1"/>
        <c:majorTickMark val="in"/>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879616"/>
        <c:crosses val="autoZero"/>
        <c:auto val="1"/>
        <c:lblAlgn val="ctr"/>
        <c:lblOffset val="100"/>
        <c:tickLblSkip val="1"/>
      </c:catAx>
      <c:valAx>
        <c:axId val="25687961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878080"/>
        <c:crosses val="autoZero"/>
        <c:crossBetween val="between"/>
      </c:valAx>
      <c:spPr>
        <a:noFill/>
        <a:ln>
          <a:noFill/>
        </a:ln>
        <a:effectLst/>
      </c:spPr>
    </c:plotArea>
    <c:legend>
      <c:legendPos val="t"/>
      <c:layout>
        <c:manualLayout>
          <c:xMode val="edge"/>
          <c:yMode val="edge"/>
          <c:x val="0.2608210039412997"/>
          <c:y val="0.54314390806518831"/>
          <c:w val="0.39198266145593463"/>
          <c:h val="0.1680799108278532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00817786864295E-2"/>
          <c:y val="2.4668645290981287E-2"/>
          <c:w val="0.89723398712470559"/>
          <c:h val="0.91243146219625759"/>
        </c:manualLayout>
      </c:layout>
      <c:barChart>
        <c:barDir val="col"/>
        <c:grouping val="clustered"/>
        <c:ser>
          <c:idx val="0"/>
          <c:order val="0"/>
          <c:tx>
            <c:strRef>
              <c:f>Kommune!$E$143</c:f>
              <c:strCache>
                <c:ptCount val="1"/>
                <c:pt idx="0">
                  <c:v>2013</c:v>
                </c:pt>
              </c:strCache>
            </c:strRef>
          </c:tx>
          <c:spPr>
            <a:solidFill>
              <a:schemeClr val="tx1"/>
            </a:solidFill>
            <a:ln>
              <a:noFill/>
            </a:ln>
            <a:effectLst/>
          </c:spPr>
          <c:dLbls>
            <c:spPr>
              <a:noFill/>
              <a:ln>
                <a:noFill/>
              </a:ln>
              <a:effectLst/>
            </c:spPr>
            <c:txPr>
              <a:bodyPr rot="-5400000" spcFirstLastPara="1" vertOverflow="ellipsis"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in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Kommune!$D$144:$D$148</c:f>
              <c:strCache>
                <c:ptCount val="5"/>
                <c:pt idx="0">
                  <c:v>Basis</c:v>
                </c:pt>
                <c:pt idx="1">
                  <c:v>Besøk</c:v>
                </c:pt>
                <c:pt idx="2">
                  <c:v>Regional</c:v>
                </c:pt>
                <c:pt idx="3">
                  <c:v>Kom./lokal</c:v>
                </c:pt>
                <c:pt idx="4">
                  <c:v>Stat/fylke</c:v>
                </c:pt>
              </c:strCache>
            </c:strRef>
          </c:cat>
          <c:val>
            <c:numRef>
              <c:f>Kommune!$E$144:$E$148</c:f>
              <c:numCache>
                <c:formatCode>0</c:formatCode>
                <c:ptCount val="5"/>
                <c:pt idx="0">
                  <c:v>3764</c:v>
                </c:pt>
                <c:pt idx="1">
                  <c:v>2838</c:v>
                </c:pt>
                <c:pt idx="2">
                  <c:v>5516</c:v>
                </c:pt>
                <c:pt idx="3">
                  <c:v>5821</c:v>
                </c:pt>
                <c:pt idx="4">
                  <c:v>2526</c:v>
                </c:pt>
              </c:numCache>
            </c:numRef>
          </c:val>
        </c:ser>
        <c:ser>
          <c:idx val="1"/>
          <c:order val="1"/>
          <c:tx>
            <c:strRef>
              <c:f>Kommune!$F$143</c:f>
              <c:strCache>
                <c:ptCount val="1"/>
                <c:pt idx="0">
                  <c:v>Normal</c:v>
                </c:pt>
              </c:strCache>
            </c:strRef>
          </c:tx>
          <c:spPr>
            <a:solidFill>
              <a:srgbClr val="C00000">
                <a:alpha val="30000"/>
              </a:srgbClr>
            </a:solidFill>
            <a:ln>
              <a:noFill/>
            </a:ln>
            <a:effectLst/>
          </c:spPr>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dLblPos val="in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Kommune!$D$144:$D$148</c:f>
              <c:strCache>
                <c:ptCount val="5"/>
                <c:pt idx="0">
                  <c:v>Basis</c:v>
                </c:pt>
                <c:pt idx="1">
                  <c:v>Besøk</c:v>
                </c:pt>
                <c:pt idx="2">
                  <c:v>Regional</c:v>
                </c:pt>
                <c:pt idx="3">
                  <c:v>Kom./lokal</c:v>
                </c:pt>
                <c:pt idx="4">
                  <c:v>Stat/fylke</c:v>
                </c:pt>
              </c:strCache>
            </c:strRef>
          </c:cat>
          <c:val>
            <c:numRef>
              <c:f>Kommune!$F$144:$F$148</c:f>
              <c:numCache>
                <c:formatCode>0</c:formatCode>
                <c:ptCount val="5"/>
                <c:pt idx="0">
                  <c:v>3030.8405067973399</c:v>
                </c:pt>
                <c:pt idx="1">
                  <c:v>2592.634989819835</c:v>
                </c:pt>
                <c:pt idx="2">
                  <c:v>5554.1141021337489</c:v>
                </c:pt>
                <c:pt idx="3">
                  <c:v>5747.4856089570094</c:v>
                </c:pt>
                <c:pt idx="4">
                  <c:v>2911.3524199623162</c:v>
                </c:pt>
              </c:numCache>
            </c:numRef>
          </c:val>
        </c:ser>
        <c:ser>
          <c:idx val="2"/>
          <c:order val="2"/>
          <c:tx>
            <c:strRef>
              <c:f>Kommune!$G$143</c:f>
              <c:strCache>
                <c:ptCount val="1"/>
                <c:pt idx="0">
                  <c:v>Historisk</c:v>
                </c:pt>
              </c:strCache>
            </c:strRef>
          </c:tx>
          <c:spPr>
            <a:solidFill>
              <a:srgbClr val="92D050"/>
            </a:solidFill>
            <a:ln>
              <a:noFill/>
            </a:ln>
            <a:effectLst/>
          </c:spPr>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dLblPos val="in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Kommune!$D$144:$D$148</c:f>
              <c:strCache>
                <c:ptCount val="5"/>
                <c:pt idx="0">
                  <c:v>Basis</c:v>
                </c:pt>
                <c:pt idx="1">
                  <c:v>Besøk</c:v>
                </c:pt>
                <c:pt idx="2">
                  <c:v>Regional</c:v>
                </c:pt>
                <c:pt idx="3">
                  <c:v>Kom./lokal</c:v>
                </c:pt>
                <c:pt idx="4">
                  <c:v>Stat/fylke</c:v>
                </c:pt>
              </c:strCache>
            </c:strRef>
          </c:cat>
          <c:val>
            <c:numRef>
              <c:f>Kommune!$G$144:$G$148</c:f>
              <c:numCache>
                <c:formatCode>0</c:formatCode>
                <c:ptCount val="5"/>
                <c:pt idx="0">
                  <c:v>2695.8112552076968</c:v>
                </c:pt>
                <c:pt idx="1">
                  <c:v>2546.1247826445674</c:v>
                </c:pt>
                <c:pt idx="2">
                  <c:v>5504.8699105832793</c:v>
                </c:pt>
                <c:pt idx="3">
                  <c:v>5866.4508134395364</c:v>
                </c:pt>
                <c:pt idx="4">
                  <c:v>2911.3524199623162</c:v>
                </c:pt>
              </c:numCache>
            </c:numRef>
          </c:val>
        </c:ser>
        <c:ser>
          <c:idx val="3"/>
          <c:order val="3"/>
          <c:tx>
            <c:strRef>
              <c:f>Kommune!$H$143</c:f>
              <c:strCache>
                <c:ptCount val="1"/>
                <c:pt idx="0">
                  <c:v>Målscenrio</c:v>
                </c:pt>
              </c:strCache>
            </c:strRef>
          </c:tx>
          <c:spPr>
            <a:solidFill>
              <a:schemeClr val="accent4"/>
            </a:solidFill>
            <a:ln>
              <a:noFill/>
            </a:ln>
            <a:effectLst/>
          </c:spPr>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dLblPos val="in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Kommune!$D$144:$D$148</c:f>
              <c:strCache>
                <c:ptCount val="5"/>
                <c:pt idx="0">
                  <c:v>Basis</c:v>
                </c:pt>
                <c:pt idx="1">
                  <c:v>Besøk</c:v>
                </c:pt>
                <c:pt idx="2">
                  <c:v>Regional</c:v>
                </c:pt>
                <c:pt idx="3">
                  <c:v>Kom./lokal</c:v>
                </c:pt>
                <c:pt idx="4">
                  <c:v>Stat/fylke</c:v>
                </c:pt>
              </c:strCache>
            </c:strRef>
          </c:cat>
          <c:val>
            <c:numRef>
              <c:f>Kommune!$H$144:$H$148</c:f>
              <c:numCache>
                <c:formatCode>0</c:formatCode>
                <c:ptCount val="5"/>
                <c:pt idx="0">
                  <c:v>3355.2013675598496</c:v>
                </c:pt>
                <c:pt idx="1">
                  <c:v>2996.0139848242752</c:v>
                </c:pt>
                <c:pt idx="2">
                  <c:v>6413.469836014081</c:v>
                </c:pt>
                <c:pt idx="3">
                  <c:v>6067.1468463235014</c:v>
                </c:pt>
                <c:pt idx="4">
                  <c:v>2911.3524199623162</c:v>
                </c:pt>
              </c:numCache>
            </c:numRef>
          </c:val>
        </c:ser>
        <c:gapWidth val="219"/>
        <c:overlap val="-27"/>
        <c:axId val="256562688"/>
        <c:axId val="256564224"/>
      </c:barChart>
      <c:catAx>
        <c:axId val="256562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564224"/>
        <c:crosses val="autoZero"/>
        <c:auto val="1"/>
        <c:lblAlgn val="ctr"/>
        <c:lblOffset val="100"/>
      </c:catAx>
      <c:valAx>
        <c:axId val="25656422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562688"/>
        <c:crosses val="autoZero"/>
        <c:crossBetween val="between"/>
      </c:valAx>
      <c:spPr>
        <a:noFill/>
        <a:ln>
          <a:noFill/>
        </a:ln>
        <a:effectLst/>
      </c:spPr>
    </c:plotArea>
    <c:legend>
      <c:legendPos val="b"/>
      <c:layout>
        <c:manualLayout>
          <c:xMode val="edge"/>
          <c:yMode val="edge"/>
          <c:x val="0.13679474401142902"/>
          <c:y val="4.2065870798408268E-2"/>
          <c:w val="0.79040359530636639"/>
          <c:h val="5.0453224429284932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34813244934067"/>
          <c:y val="2.0519651874353142E-2"/>
          <c:w val="0.52683028802276022"/>
          <c:h val="0.93606711269149556"/>
        </c:manualLayout>
      </c:layout>
      <c:barChart>
        <c:barDir val="bar"/>
        <c:grouping val="clustered"/>
        <c:ser>
          <c:idx val="0"/>
          <c:order val="0"/>
          <c:tx>
            <c:strRef>
              <c:f>'Utdanning befolkning region'!$E$1</c:f>
              <c:strCache>
                <c:ptCount val="1"/>
                <c:pt idx="0">
                  <c:v>2000</c:v>
                </c:pt>
              </c:strCache>
            </c:strRef>
          </c:tx>
          <c:spPr>
            <a:solidFill>
              <a:srgbClr val="0070C0"/>
            </a:solidFill>
            <a:ln>
              <a:noFill/>
            </a:ln>
            <a:effectLst/>
          </c:spPr>
          <c:dLbls>
            <c:dLbl>
              <c:idx val="3"/>
              <c:dLblPos val="ctr"/>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ct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'Utdanning befolkning region'!$D$2:$D$32</c:f>
              <c:strCache>
                <c:ptCount val="31"/>
                <c:pt idx="0">
                  <c:v>Midt-Gudbrandsdal - 81</c:v>
                </c:pt>
                <c:pt idx="1">
                  <c:v>Nord-Gudbrandsdal - 78</c:v>
                </c:pt>
                <c:pt idx="2">
                  <c:v>Indre Østfold - 76</c:v>
                </c:pt>
                <c:pt idx="3">
                  <c:v>Glåmdal - 74</c:v>
                </c:pt>
                <c:pt idx="4">
                  <c:v>Midt-Buskerud - 72</c:v>
                </c:pt>
                <c:pt idx="5">
                  <c:v>Valdres - 69</c:v>
                </c:pt>
                <c:pt idx="6">
                  <c:v>Hallingdal - 65</c:v>
                </c:pt>
                <c:pt idx="7">
                  <c:v>Øvre Romerike - 63</c:v>
                </c:pt>
                <c:pt idx="8">
                  <c:v>Hadeland - 61</c:v>
                </c:pt>
                <c:pt idx="9">
                  <c:v>Vest-Telemark - 49</c:v>
                </c:pt>
                <c:pt idx="10">
                  <c:v>Øst-Telemark - 47</c:v>
                </c:pt>
                <c:pt idx="11">
                  <c:v>Gjøvikregionen - 46</c:v>
                </c:pt>
                <c:pt idx="12">
                  <c:v>Fjellregionen - 43</c:v>
                </c:pt>
                <c:pt idx="13">
                  <c:v>Grenland - 33</c:v>
                </c:pt>
                <c:pt idx="14">
                  <c:v>Sør Østerdal - 31</c:v>
                </c:pt>
                <c:pt idx="15">
                  <c:v>Midt-Telemark - 29</c:v>
                </c:pt>
                <c:pt idx="16">
                  <c:v>Sandefjord/Larvik - 28</c:v>
                </c:pt>
                <c:pt idx="17">
                  <c:v>Nedre Glomma - 27</c:v>
                </c:pt>
                <c:pt idx="18">
                  <c:v>Ringerike/Hole - 25</c:v>
                </c:pt>
                <c:pt idx="19">
                  <c:v>Drammensregionen - 23</c:v>
                </c:pt>
                <c:pt idx="20">
                  <c:v>Halden - 22</c:v>
                </c:pt>
                <c:pt idx="21">
                  <c:v>Mosseregionen - 21</c:v>
                </c:pt>
                <c:pt idx="22">
                  <c:v>Hamarregionen - 18</c:v>
                </c:pt>
                <c:pt idx="23">
                  <c:v>Nedre Romerike - 15</c:v>
                </c:pt>
                <c:pt idx="24">
                  <c:v>Vestviken - 11</c:v>
                </c:pt>
                <c:pt idx="25">
                  <c:v>Tønsbergregionen - 10</c:v>
                </c:pt>
                <c:pt idx="26">
                  <c:v>Kongsberg/Numedal - 8</c:v>
                </c:pt>
                <c:pt idx="27">
                  <c:v>Lillehammerregionen - 7</c:v>
                </c:pt>
                <c:pt idx="28">
                  <c:v>Follo - 5</c:v>
                </c:pt>
                <c:pt idx="29">
                  <c:v>Oslo - 2</c:v>
                </c:pt>
                <c:pt idx="30">
                  <c:v>Akershus Vest - 1</c:v>
                </c:pt>
              </c:strCache>
            </c:strRef>
          </c:cat>
          <c:val>
            <c:numRef>
              <c:f>'Utdanning befolkning region'!$E$2:$E$32</c:f>
              <c:numCache>
                <c:formatCode>0.0</c:formatCode>
                <c:ptCount val="31"/>
                <c:pt idx="0">
                  <c:v>15.81057007125891</c:v>
                </c:pt>
                <c:pt idx="1">
                  <c:v>15.026273241713817</c:v>
                </c:pt>
                <c:pt idx="2">
                  <c:v>16.910284137519575</c:v>
                </c:pt>
                <c:pt idx="3">
                  <c:v>16.810935725196835</c:v>
                </c:pt>
                <c:pt idx="4">
                  <c:v>16.46289146289147</c:v>
                </c:pt>
                <c:pt idx="5">
                  <c:v>16.921768707482993</c:v>
                </c:pt>
                <c:pt idx="6">
                  <c:v>19.029574861367824</c:v>
                </c:pt>
                <c:pt idx="7">
                  <c:v>18.176429657500709</c:v>
                </c:pt>
                <c:pt idx="8">
                  <c:v>17.848463187991424</c:v>
                </c:pt>
                <c:pt idx="9">
                  <c:v>18.833218943033632</c:v>
                </c:pt>
                <c:pt idx="10">
                  <c:v>20.866873065015493</c:v>
                </c:pt>
                <c:pt idx="11">
                  <c:v>20.401317578797851</c:v>
                </c:pt>
                <c:pt idx="12">
                  <c:v>20.188271212313946</c:v>
                </c:pt>
                <c:pt idx="13">
                  <c:v>21.82491656581216</c:v>
                </c:pt>
                <c:pt idx="14">
                  <c:v>22.118128800099267</c:v>
                </c:pt>
                <c:pt idx="15">
                  <c:v>23.517276946879836</c:v>
                </c:pt>
                <c:pt idx="16">
                  <c:v>23.00866904640489</c:v>
                </c:pt>
                <c:pt idx="17">
                  <c:v>22.164885549415114</c:v>
                </c:pt>
                <c:pt idx="18">
                  <c:v>23.560678451982799</c:v>
                </c:pt>
                <c:pt idx="19">
                  <c:v>22.883152276770499</c:v>
                </c:pt>
                <c:pt idx="20">
                  <c:v>22.979059660213352</c:v>
                </c:pt>
                <c:pt idx="21">
                  <c:v>23.4412875024836</c:v>
                </c:pt>
                <c:pt idx="22">
                  <c:v>23.750740667588378</c:v>
                </c:pt>
                <c:pt idx="23">
                  <c:v>24.038322153842099</c:v>
                </c:pt>
                <c:pt idx="24">
                  <c:v>25.792897256676497</c:v>
                </c:pt>
                <c:pt idx="25">
                  <c:v>27.01110824076466</c:v>
                </c:pt>
                <c:pt idx="26">
                  <c:v>28.978149100257063</c:v>
                </c:pt>
                <c:pt idx="27">
                  <c:v>29.526979104151888</c:v>
                </c:pt>
                <c:pt idx="28">
                  <c:v>31.073400055692968</c:v>
                </c:pt>
                <c:pt idx="29">
                  <c:v>41.672904260614651</c:v>
                </c:pt>
                <c:pt idx="30">
                  <c:v>45.321692681759195</c:v>
                </c:pt>
              </c:numCache>
            </c:numRef>
          </c:val>
        </c:ser>
        <c:ser>
          <c:idx val="1"/>
          <c:order val="1"/>
          <c:tx>
            <c:strRef>
              <c:f>'Utdanning befolkning region'!$F$1</c:f>
              <c:strCache>
                <c:ptCount val="1"/>
                <c:pt idx="0">
                  <c:v>2013</c:v>
                </c:pt>
              </c:strCache>
            </c:strRef>
          </c:tx>
          <c:spPr>
            <a:solidFill>
              <a:srgbClr val="C00000"/>
            </a:solidFill>
            <a:ln>
              <a:noFill/>
            </a:ln>
            <a:effectLst/>
          </c:spP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'Utdanning befolkning region'!$D$2:$D$32</c:f>
              <c:strCache>
                <c:ptCount val="31"/>
                <c:pt idx="0">
                  <c:v>Midt-Gudbrandsdal - 81</c:v>
                </c:pt>
                <c:pt idx="1">
                  <c:v>Nord-Gudbrandsdal - 78</c:v>
                </c:pt>
                <c:pt idx="2">
                  <c:v>Indre Østfold - 76</c:v>
                </c:pt>
                <c:pt idx="3">
                  <c:v>Glåmdal - 74</c:v>
                </c:pt>
                <c:pt idx="4">
                  <c:v>Midt-Buskerud - 72</c:v>
                </c:pt>
                <c:pt idx="5">
                  <c:v>Valdres - 69</c:v>
                </c:pt>
                <c:pt idx="6">
                  <c:v>Hallingdal - 65</c:v>
                </c:pt>
                <c:pt idx="7">
                  <c:v>Øvre Romerike - 63</c:v>
                </c:pt>
                <c:pt idx="8">
                  <c:v>Hadeland - 61</c:v>
                </c:pt>
                <c:pt idx="9">
                  <c:v>Vest-Telemark - 49</c:v>
                </c:pt>
                <c:pt idx="10">
                  <c:v>Øst-Telemark - 47</c:v>
                </c:pt>
                <c:pt idx="11">
                  <c:v>Gjøvikregionen - 46</c:v>
                </c:pt>
                <c:pt idx="12">
                  <c:v>Fjellregionen - 43</c:v>
                </c:pt>
                <c:pt idx="13">
                  <c:v>Grenland - 33</c:v>
                </c:pt>
                <c:pt idx="14">
                  <c:v>Sør Østerdal - 31</c:v>
                </c:pt>
                <c:pt idx="15">
                  <c:v>Midt-Telemark - 29</c:v>
                </c:pt>
                <c:pt idx="16">
                  <c:v>Sandefjord/Larvik - 28</c:v>
                </c:pt>
                <c:pt idx="17">
                  <c:v>Nedre Glomma - 27</c:v>
                </c:pt>
                <c:pt idx="18">
                  <c:v>Ringerike/Hole - 25</c:v>
                </c:pt>
                <c:pt idx="19">
                  <c:v>Drammensregionen - 23</c:v>
                </c:pt>
                <c:pt idx="20">
                  <c:v>Halden - 22</c:v>
                </c:pt>
                <c:pt idx="21">
                  <c:v>Mosseregionen - 21</c:v>
                </c:pt>
                <c:pt idx="22">
                  <c:v>Hamarregionen - 18</c:v>
                </c:pt>
                <c:pt idx="23">
                  <c:v>Nedre Romerike - 15</c:v>
                </c:pt>
                <c:pt idx="24">
                  <c:v>Vestviken - 11</c:v>
                </c:pt>
                <c:pt idx="25">
                  <c:v>Tønsbergregionen - 10</c:v>
                </c:pt>
                <c:pt idx="26">
                  <c:v>Kongsberg/Numedal - 8</c:v>
                </c:pt>
                <c:pt idx="27">
                  <c:v>Lillehammerregionen - 7</c:v>
                </c:pt>
                <c:pt idx="28">
                  <c:v>Follo - 5</c:v>
                </c:pt>
                <c:pt idx="29">
                  <c:v>Oslo - 2</c:v>
                </c:pt>
                <c:pt idx="30">
                  <c:v>Akershus Vest - 1</c:v>
                </c:pt>
              </c:strCache>
            </c:strRef>
          </c:cat>
          <c:val>
            <c:numRef>
              <c:f>'Utdanning befolkning region'!$F$2:$F$32</c:f>
              <c:numCache>
                <c:formatCode>0.0</c:formatCode>
                <c:ptCount val="31"/>
                <c:pt idx="0">
                  <c:v>21.042556324547188</c:v>
                </c:pt>
                <c:pt idx="1">
                  <c:v>21.909412009141892</c:v>
                </c:pt>
                <c:pt idx="2">
                  <c:v>22.435897435897434</c:v>
                </c:pt>
                <c:pt idx="3">
                  <c:v>22.900984365952525</c:v>
                </c:pt>
                <c:pt idx="4">
                  <c:v>23.143438453713124</c:v>
                </c:pt>
                <c:pt idx="5">
                  <c:v>23.788499947440332</c:v>
                </c:pt>
                <c:pt idx="6">
                  <c:v>24.619107366911631</c:v>
                </c:pt>
                <c:pt idx="7">
                  <c:v>24.962793129801689</c:v>
                </c:pt>
                <c:pt idx="8">
                  <c:v>25.225471440284227</c:v>
                </c:pt>
                <c:pt idx="9">
                  <c:v>26.434965771458678</c:v>
                </c:pt>
                <c:pt idx="10">
                  <c:v>26.727726894254786</c:v>
                </c:pt>
                <c:pt idx="11">
                  <c:v>27.482207443705512</c:v>
                </c:pt>
                <c:pt idx="12">
                  <c:v>27.823240589198029</c:v>
                </c:pt>
                <c:pt idx="13">
                  <c:v>29.823955220012799</c:v>
                </c:pt>
                <c:pt idx="14">
                  <c:v>30.108089260808924</c:v>
                </c:pt>
                <c:pt idx="15">
                  <c:v>30.169407075236673</c:v>
                </c:pt>
                <c:pt idx="16">
                  <c:v>30.201807716313368</c:v>
                </c:pt>
                <c:pt idx="17">
                  <c:v>30.479096542829275</c:v>
                </c:pt>
                <c:pt idx="18">
                  <c:v>30.733692663073363</c:v>
                </c:pt>
                <c:pt idx="19">
                  <c:v>30.919663450605853</c:v>
                </c:pt>
                <c:pt idx="20">
                  <c:v>30.963135654961373</c:v>
                </c:pt>
                <c:pt idx="21">
                  <c:v>31.033991813489944</c:v>
                </c:pt>
                <c:pt idx="22">
                  <c:v>31.877384257691698</c:v>
                </c:pt>
                <c:pt idx="23">
                  <c:v>32.071261881723458</c:v>
                </c:pt>
                <c:pt idx="24">
                  <c:v>34.825072377829734</c:v>
                </c:pt>
                <c:pt idx="25">
                  <c:v>34.911420579300362</c:v>
                </c:pt>
                <c:pt idx="26">
                  <c:v>37.023686920700307</c:v>
                </c:pt>
                <c:pt idx="27">
                  <c:v>37.747878909583811</c:v>
                </c:pt>
                <c:pt idx="28">
                  <c:v>40.348025485102234</c:v>
                </c:pt>
                <c:pt idx="29">
                  <c:v>51.716575457582636</c:v>
                </c:pt>
                <c:pt idx="30">
                  <c:v>53.847174756959404</c:v>
                </c:pt>
              </c:numCache>
            </c:numRef>
          </c:val>
        </c:ser>
        <c:gapWidth val="30"/>
        <c:axId val="257009152"/>
        <c:axId val="257010688"/>
      </c:barChart>
      <c:catAx>
        <c:axId val="2570091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7010688"/>
        <c:crosses val="autoZero"/>
        <c:auto val="1"/>
        <c:lblAlgn val="ctr"/>
        <c:lblOffset val="100"/>
      </c:catAx>
      <c:valAx>
        <c:axId val="257010688"/>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7009152"/>
        <c:crosses val="autoZero"/>
        <c:crossBetween val="between"/>
      </c:valAx>
      <c:spPr>
        <a:noFill/>
        <a:ln>
          <a:noFill/>
        </a:ln>
        <a:effectLst/>
      </c:spPr>
    </c:plotArea>
    <c:legend>
      <c:legendPos val="b"/>
      <c:layout>
        <c:manualLayout>
          <c:xMode val="edge"/>
          <c:yMode val="edge"/>
          <c:x val="0.79256650764542602"/>
          <c:y val="0.67724695954066938"/>
          <c:w val="0.15701769741549429"/>
          <c:h val="0.11455863556088949"/>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68413011075969"/>
          <c:y val="0.2233697225170134"/>
          <c:w val="0.80034500867620362"/>
          <c:h val="0.62606440217592974"/>
        </c:manualLayout>
      </c:layout>
      <c:lineChart>
        <c:grouping val="standard"/>
        <c:ser>
          <c:idx val="0"/>
          <c:order val="0"/>
          <c:tx>
            <c:strRef>
              <c:f>'Reg pend tidsserie'!$C$32</c:f>
              <c:strCache>
                <c:ptCount val="1"/>
                <c:pt idx="0">
                  <c:v>Pendler inn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3"/>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'Reg pend tidsserie'!$D$1:$Q$1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'Reg pend tidsserie'!$D$32:$Q$32</c:f>
              <c:numCache>
                <c:formatCode>0.0</c:formatCode>
                <c:ptCount val="14"/>
                <c:pt idx="0">
                  <c:v>25.020242914979743</c:v>
                </c:pt>
                <c:pt idx="1">
                  <c:v>22.836218375499332</c:v>
                </c:pt>
                <c:pt idx="2">
                  <c:v>23.796423658872076</c:v>
                </c:pt>
                <c:pt idx="3">
                  <c:v>28.008752735229752</c:v>
                </c:pt>
                <c:pt idx="4">
                  <c:v>28.825622775800703</c:v>
                </c:pt>
                <c:pt idx="5">
                  <c:v>30.856709628506444</c:v>
                </c:pt>
                <c:pt idx="6">
                  <c:v>30.747330960854093</c:v>
                </c:pt>
                <c:pt idx="7">
                  <c:v>28.636660143509467</c:v>
                </c:pt>
                <c:pt idx="8">
                  <c:v>27.369077306733161</c:v>
                </c:pt>
                <c:pt idx="9">
                  <c:v>30.457516339869272</c:v>
                </c:pt>
                <c:pt idx="10">
                  <c:v>31.398252184769028</c:v>
                </c:pt>
                <c:pt idx="11">
                  <c:v>31.360585723001833</c:v>
                </c:pt>
                <c:pt idx="12">
                  <c:v>32.526730444569516</c:v>
                </c:pt>
                <c:pt idx="13">
                  <c:v>32.359550561797739</c:v>
                </c:pt>
              </c:numCache>
            </c:numRef>
          </c:val>
        </c:ser>
        <c:ser>
          <c:idx val="1"/>
          <c:order val="1"/>
          <c:tx>
            <c:strRef>
              <c:f>'Reg pend tidsserie'!$C$33</c:f>
              <c:strCache>
                <c:ptCount val="1"/>
                <c:pt idx="0">
                  <c:v>Pendler ut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'Reg pend tidsserie'!$D$1:$Q$1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'Reg pend tidsserie'!$D$33:$Q$33</c:f>
              <c:numCache>
                <c:formatCode>0.0</c:formatCode>
                <c:ptCount val="14"/>
                <c:pt idx="0">
                  <c:v>17.8117048346056</c:v>
                </c:pt>
                <c:pt idx="1">
                  <c:v>17.692705638903252</c:v>
                </c:pt>
                <c:pt idx="2">
                  <c:v>17.998597967052227</c:v>
                </c:pt>
                <c:pt idx="3">
                  <c:v>17.68744354110207</c:v>
                </c:pt>
                <c:pt idx="4">
                  <c:v>18.741658722592945</c:v>
                </c:pt>
                <c:pt idx="5">
                  <c:v>20.158700170035889</c:v>
                </c:pt>
                <c:pt idx="6">
                  <c:v>19.981701738334852</c:v>
                </c:pt>
                <c:pt idx="7">
                  <c:v>19.16904422253922</c:v>
                </c:pt>
                <c:pt idx="8">
                  <c:v>19.643172584349049</c:v>
                </c:pt>
                <c:pt idx="9">
                  <c:v>20.351712767906211</c:v>
                </c:pt>
                <c:pt idx="10">
                  <c:v>20.83410910444983</c:v>
                </c:pt>
                <c:pt idx="11">
                  <c:v>21.561065197428835</c:v>
                </c:pt>
                <c:pt idx="12">
                  <c:v>22.583608967291436</c:v>
                </c:pt>
                <c:pt idx="13">
                  <c:v>23.193154924449306</c:v>
                </c:pt>
              </c:numCache>
            </c:numRef>
          </c:val>
        </c:ser>
        <c:ser>
          <c:idx val="2"/>
          <c:order val="2"/>
          <c:tx>
            <c:strRef>
              <c:f>'Reg pend tidsserie'!$C$34</c:f>
              <c:strCache>
                <c:ptCount val="1"/>
                <c:pt idx="0">
                  <c:v>Samme sted</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13"/>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'Reg pend tidsserie'!$D$1:$Q$1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'Reg pend tidsserie'!$D$34:$Q$34</c:f>
              <c:numCache>
                <c:formatCode>0.0</c:formatCode>
                <c:ptCount val="14"/>
                <c:pt idx="0">
                  <c:v>16.510490935017316</c:v>
                </c:pt>
                <c:pt idx="1">
                  <c:v>16.885029453585197</c:v>
                </c:pt>
                <c:pt idx="2">
                  <c:v>17.283057851239661</c:v>
                </c:pt>
                <c:pt idx="3">
                  <c:v>17.139732305609083</c:v>
                </c:pt>
                <c:pt idx="4">
                  <c:v>17.794268167860807</c:v>
                </c:pt>
                <c:pt idx="5">
                  <c:v>18.26172890876936</c:v>
                </c:pt>
                <c:pt idx="6">
                  <c:v>18.547069634470084</c:v>
                </c:pt>
                <c:pt idx="7">
                  <c:v>18.70612595323469</c:v>
                </c:pt>
                <c:pt idx="8">
                  <c:v>19.035507680031909</c:v>
                </c:pt>
                <c:pt idx="9">
                  <c:v>20.261842173083856</c:v>
                </c:pt>
                <c:pt idx="10">
                  <c:v>20.869292327004551</c:v>
                </c:pt>
                <c:pt idx="11">
                  <c:v>20.930846848750587</c:v>
                </c:pt>
                <c:pt idx="12">
                  <c:v>22.252674853739517</c:v>
                </c:pt>
                <c:pt idx="13">
                  <c:v>22.815092320042815</c:v>
                </c:pt>
              </c:numCache>
            </c:numRef>
          </c:val>
        </c:ser>
        <c:marker val="1"/>
        <c:axId val="256938368"/>
        <c:axId val="256939904"/>
      </c:lineChart>
      <c:catAx>
        <c:axId val="2569383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939904"/>
        <c:crosses val="autoZero"/>
        <c:auto val="1"/>
        <c:lblAlgn val="ctr"/>
        <c:lblOffset val="100"/>
      </c:catAx>
      <c:valAx>
        <c:axId val="256939904"/>
        <c:scaling>
          <c:orientation val="minMax"/>
          <c:min val="10"/>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6938368"/>
        <c:crosses val="autoZero"/>
        <c:crossBetween val="between"/>
      </c:valAx>
      <c:spPr>
        <a:noFill/>
        <a:ln>
          <a:noFill/>
        </a:ln>
        <a:effectLst/>
      </c:spPr>
    </c:plotArea>
    <c:legend>
      <c:legendPos val="t"/>
      <c:layout>
        <c:manualLayout>
          <c:xMode val="edge"/>
          <c:yMode val="edge"/>
          <c:x val="1.3368661315349903E-3"/>
          <c:y val="0"/>
          <c:w val="0.99732592782690399"/>
          <c:h val="0.1283241166220437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nb-NO"/>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782741408349223"/>
          <c:y val="2.9914525682403152E-2"/>
          <c:w val="0.51842771218458494"/>
          <c:h val="0.91911917185675629"/>
        </c:manualLayout>
      </c:layout>
      <c:barChart>
        <c:barDir val="bar"/>
        <c:grouping val="clustered"/>
        <c:ser>
          <c:idx val="0"/>
          <c:order val="0"/>
          <c:spPr>
            <a:solidFill>
              <a:srgbClr val="0070C0"/>
            </a:solidFill>
            <a:ln>
              <a:noFill/>
            </a:ln>
            <a:effectLst/>
          </c:spPr>
          <c:dPt>
            <c:idx val="3"/>
            <c:spPr>
              <a:solidFill>
                <a:srgbClr val="C00000"/>
              </a:solidFill>
              <a:ln>
                <a:noFill/>
              </a:ln>
              <a:effectLst/>
            </c:spPr>
          </c:dPt>
          <c:dPt>
            <c:idx val="6"/>
            <c:spPr>
              <a:solidFill>
                <a:srgbClr val="92D050"/>
              </a:solidFill>
              <a:ln>
                <a:noFill/>
              </a:ln>
              <a:effectLst/>
            </c:spPr>
          </c:dPt>
          <c:dPt>
            <c:idx val="11"/>
            <c:spPr>
              <a:solidFill>
                <a:srgbClr val="92D050"/>
              </a:solidFill>
              <a:ln>
                <a:noFill/>
              </a:ln>
              <a:effectLst/>
            </c:spPr>
          </c:dPt>
          <c:cat>
            <c:strRef>
              <c:f>'Region diff pendling'!$D$2:$D$32</c:f>
              <c:strCache>
                <c:ptCount val="31"/>
                <c:pt idx="0">
                  <c:v>Indre Østfold - 78</c:v>
                </c:pt>
                <c:pt idx="1">
                  <c:v>Vest-Telemark - 77</c:v>
                </c:pt>
                <c:pt idx="2">
                  <c:v>Øst-Telemark - 71</c:v>
                </c:pt>
                <c:pt idx="3">
                  <c:v>Glåmdal - 70</c:v>
                </c:pt>
                <c:pt idx="4">
                  <c:v>Grenland - 61</c:v>
                </c:pt>
                <c:pt idx="5">
                  <c:v>Kongsberg/Numedal - 60</c:v>
                </c:pt>
                <c:pt idx="6">
                  <c:v>Sør Østerdal - 59</c:v>
                </c:pt>
                <c:pt idx="7">
                  <c:v>Midt-Buskerud - 57</c:v>
                </c:pt>
                <c:pt idx="8">
                  <c:v>Midt-Gudbrandsdal - 53</c:v>
                </c:pt>
                <c:pt idx="9">
                  <c:v>Gjøvikregionen - 49</c:v>
                </c:pt>
                <c:pt idx="10">
                  <c:v>Drammensregionen - 43</c:v>
                </c:pt>
                <c:pt idx="11">
                  <c:v>Fjellregionen - 41</c:v>
                </c:pt>
                <c:pt idx="12">
                  <c:v>Midt-Telemark - 40</c:v>
                </c:pt>
                <c:pt idx="13">
                  <c:v>Hadeland - 39</c:v>
                </c:pt>
                <c:pt idx="14">
                  <c:v>Nord-Gudbrandsdal - 34</c:v>
                </c:pt>
                <c:pt idx="15">
                  <c:v>Nedre Romerike - 33</c:v>
                </c:pt>
                <c:pt idx="16">
                  <c:v>Ringerike/Hole - 31</c:v>
                </c:pt>
                <c:pt idx="17">
                  <c:v>Hamarregionen - 30</c:v>
                </c:pt>
                <c:pt idx="18">
                  <c:v>Øvre Romerike - 28</c:v>
                </c:pt>
                <c:pt idx="19">
                  <c:v>Halden - 25</c:v>
                </c:pt>
                <c:pt idx="20">
                  <c:v>Nedre Glomma - 22</c:v>
                </c:pt>
                <c:pt idx="21">
                  <c:v>Mosseregionen - 21</c:v>
                </c:pt>
                <c:pt idx="22">
                  <c:v>Valdres - 18</c:v>
                </c:pt>
                <c:pt idx="23">
                  <c:v>Tønsbergregionen - 16</c:v>
                </c:pt>
                <c:pt idx="24">
                  <c:v>Lillehammerregionen - 14</c:v>
                </c:pt>
                <c:pt idx="25">
                  <c:v>Hallingdal - 13</c:v>
                </c:pt>
                <c:pt idx="26">
                  <c:v>Sandefjord/Larvik - 6</c:v>
                </c:pt>
                <c:pt idx="27">
                  <c:v>Oslo - 4</c:v>
                </c:pt>
                <c:pt idx="28">
                  <c:v>Vestviken - 3</c:v>
                </c:pt>
                <c:pt idx="29">
                  <c:v>Akershus Vest - 2</c:v>
                </c:pt>
                <c:pt idx="30">
                  <c:v>Follo - 1</c:v>
                </c:pt>
              </c:strCache>
            </c:strRef>
          </c:cat>
          <c:val>
            <c:numRef>
              <c:f>'Region diff pendling'!$R$2:$R$32</c:f>
              <c:numCache>
                <c:formatCode>0.0</c:formatCode>
                <c:ptCount val="31"/>
                <c:pt idx="0">
                  <c:v>-12.619269691726597</c:v>
                </c:pt>
                <c:pt idx="1">
                  <c:v>-12.163932385326177</c:v>
                </c:pt>
                <c:pt idx="2">
                  <c:v>-9.5313321336889665</c:v>
                </c:pt>
                <c:pt idx="3">
                  <c:v>-9.1663956373484545</c:v>
                </c:pt>
                <c:pt idx="4">
                  <c:v>-5.991715362618578</c:v>
                </c:pt>
                <c:pt idx="5">
                  <c:v>-5.8947638008076595</c:v>
                </c:pt>
                <c:pt idx="6">
                  <c:v>-5.0963961324348084</c:v>
                </c:pt>
                <c:pt idx="7">
                  <c:v>-4.9070862829751425</c:v>
                </c:pt>
                <c:pt idx="8">
                  <c:v>-4.0681663258350369</c:v>
                </c:pt>
                <c:pt idx="9">
                  <c:v>-3.4658001273035337</c:v>
                </c:pt>
                <c:pt idx="10">
                  <c:v>-2.1665690215752704</c:v>
                </c:pt>
                <c:pt idx="11">
                  <c:v>-1.3786701897451081</c:v>
                </c:pt>
                <c:pt idx="12">
                  <c:v>-1.2067193478809766</c:v>
                </c:pt>
                <c:pt idx="13">
                  <c:v>-1.1015530835195051</c:v>
                </c:pt>
                <c:pt idx="14">
                  <c:v>-0.27356200633949268</c:v>
                </c:pt>
                <c:pt idx="15">
                  <c:v>-0.20692000974565161</c:v>
                </c:pt>
                <c:pt idx="16">
                  <c:v>2.735972616168425E-2</c:v>
                </c:pt>
                <c:pt idx="17">
                  <c:v>3.1208642360859087E-2</c:v>
                </c:pt>
                <c:pt idx="18">
                  <c:v>0.36131391697253096</c:v>
                </c:pt>
                <c:pt idx="19">
                  <c:v>1.2222327023269912</c:v>
                </c:pt>
                <c:pt idx="20">
                  <c:v>1.8102169033649815</c:v>
                </c:pt>
                <c:pt idx="21">
                  <c:v>1.8541487066135225</c:v>
                </c:pt>
                <c:pt idx="22">
                  <c:v>1.9963439050576004</c:v>
                </c:pt>
                <c:pt idx="23">
                  <c:v>2.3700627999506372</c:v>
                </c:pt>
                <c:pt idx="24">
                  <c:v>3.0946880269814443</c:v>
                </c:pt>
                <c:pt idx="25">
                  <c:v>3.2552520893047356</c:v>
                </c:pt>
                <c:pt idx="26">
                  <c:v>7.5709678180602316</c:v>
                </c:pt>
                <c:pt idx="27">
                  <c:v>8.0300953707275582</c:v>
                </c:pt>
                <c:pt idx="28">
                  <c:v>8.7954560399388626</c:v>
                </c:pt>
                <c:pt idx="29">
                  <c:v>10.246268769668841</c:v>
                </c:pt>
                <c:pt idx="30">
                  <c:v>13.747379981577291</c:v>
                </c:pt>
              </c:numCache>
            </c:numRef>
          </c:val>
        </c:ser>
        <c:gapWidth val="30"/>
        <c:axId val="257063168"/>
        <c:axId val="257077248"/>
      </c:barChart>
      <c:catAx>
        <c:axId val="257063168"/>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7077248"/>
        <c:crosses val="autoZero"/>
        <c:auto val="1"/>
        <c:lblAlgn val="ctr"/>
        <c:lblOffset val="100"/>
      </c:catAx>
      <c:valAx>
        <c:axId val="257077248"/>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7063168"/>
        <c:crosses val="autoZero"/>
        <c:crossBetween val="between"/>
        <c:majorUnit val="4"/>
      </c:valAx>
      <c:spPr>
        <a:noFill/>
        <a:ln>
          <a:noFill/>
        </a:ln>
        <a:effectLst/>
      </c:spPr>
    </c:plotArea>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42508691649201E-2"/>
          <c:y val="4.384654400096416E-2"/>
          <c:w val="0.89092468153522697"/>
          <c:h val="0.88847033625936567"/>
        </c:manualLayout>
      </c:layout>
      <c:barChart>
        <c:barDir val="col"/>
        <c:grouping val="clustered"/>
        <c:ser>
          <c:idx val="0"/>
          <c:order val="0"/>
          <c:tx>
            <c:strRef>
              <c:f>'Nivå sektorer'!$B$14</c:f>
              <c:strCache>
                <c:ptCount val="1"/>
                <c:pt idx="0">
                  <c:v>Norge</c:v>
                </c:pt>
              </c:strCache>
            </c:strRef>
          </c:tx>
          <c:spPr>
            <a:solidFill>
              <a:schemeClr val="tx1"/>
            </a:solidFill>
            <a:ln>
              <a:noFill/>
            </a:ln>
            <a:effectLst/>
          </c:spPr>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'Nivå sektorer'!$A$15:$A$19</c:f>
              <c:strCache>
                <c:ptCount val="5"/>
                <c:pt idx="0">
                  <c:v>Fylke</c:v>
                </c:pt>
                <c:pt idx="1">
                  <c:v>Stat</c:v>
                </c:pt>
                <c:pt idx="2">
                  <c:v>Kommune</c:v>
                </c:pt>
                <c:pt idx="3">
                  <c:v>Alle</c:v>
                </c:pt>
                <c:pt idx="4">
                  <c:v>Privat</c:v>
                </c:pt>
              </c:strCache>
            </c:strRef>
          </c:cat>
          <c:val>
            <c:numRef>
              <c:f>'Nivå sektorer'!$B$15:$B$19</c:f>
              <c:numCache>
                <c:formatCode>0.0</c:formatCode>
                <c:ptCount val="5"/>
                <c:pt idx="0">
                  <c:v>70.277607496278137</c:v>
                </c:pt>
                <c:pt idx="1">
                  <c:v>65.279618247434286</c:v>
                </c:pt>
                <c:pt idx="2">
                  <c:v>46.926957288675212</c:v>
                </c:pt>
                <c:pt idx="3">
                  <c:v>35.295189003436427</c:v>
                </c:pt>
                <c:pt idx="4">
                  <c:v>26.793608864946027</c:v>
                </c:pt>
              </c:numCache>
            </c:numRef>
          </c:val>
        </c:ser>
        <c:ser>
          <c:idx val="1"/>
          <c:order val="1"/>
          <c:tx>
            <c:strRef>
              <c:f>'Nivå sektorer'!$C$14</c:f>
              <c:strCache>
                <c:ptCount val="1"/>
                <c:pt idx="0">
                  <c:v>Hedmark</c:v>
                </c:pt>
              </c:strCache>
            </c:strRef>
          </c:tx>
          <c:spPr>
            <a:solidFill>
              <a:schemeClr val="bg1">
                <a:lumMod val="50000"/>
              </a:schemeClr>
            </a:solidFill>
            <a:ln>
              <a:noFill/>
            </a:ln>
            <a:effectLst/>
          </c:spPr>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'Nivå sektorer'!$A$15:$A$19</c:f>
              <c:strCache>
                <c:ptCount val="5"/>
                <c:pt idx="0">
                  <c:v>Fylke</c:v>
                </c:pt>
                <c:pt idx="1">
                  <c:v>Stat</c:v>
                </c:pt>
                <c:pt idx="2">
                  <c:v>Kommune</c:v>
                </c:pt>
                <c:pt idx="3">
                  <c:v>Alle</c:v>
                </c:pt>
                <c:pt idx="4">
                  <c:v>Privat</c:v>
                </c:pt>
              </c:strCache>
            </c:strRef>
          </c:cat>
          <c:val>
            <c:numRef>
              <c:f>'Nivå sektorer'!$C$15:$C$19</c:f>
              <c:numCache>
                <c:formatCode>0.0</c:formatCode>
                <c:ptCount val="5"/>
                <c:pt idx="0">
                  <c:v>65.045045045045072</c:v>
                </c:pt>
                <c:pt idx="1">
                  <c:v>56.330798479087441</c:v>
                </c:pt>
                <c:pt idx="2">
                  <c:v>41.927955352612884</c:v>
                </c:pt>
                <c:pt idx="3">
                  <c:v>29.239190815665211</c:v>
                </c:pt>
                <c:pt idx="4">
                  <c:v>17.849067793468993</c:v>
                </c:pt>
              </c:numCache>
            </c:numRef>
          </c:val>
        </c:ser>
        <c:ser>
          <c:idx val="2"/>
          <c:order val="2"/>
          <c:tx>
            <c:strRef>
              <c:f>'Nivå sektorer'!$D$14</c:f>
              <c:strCache>
                <c:ptCount val="1"/>
                <c:pt idx="0">
                  <c:v>Glåmdal</c:v>
                </c:pt>
              </c:strCache>
            </c:strRef>
          </c:tx>
          <c:spPr>
            <a:solidFill>
              <a:srgbClr val="C00000"/>
            </a:solidFill>
            <a:ln>
              <a:noFill/>
            </a:ln>
            <a:effectLst/>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'Nivå sektorer'!$A$15:$A$19</c:f>
              <c:strCache>
                <c:ptCount val="5"/>
                <c:pt idx="0">
                  <c:v>Fylke</c:v>
                </c:pt>
                <c:pt idx="1">
                  <c:v>Stat</c:v>
                </c:pt>
                <c:pt idx="2">
                  <c:v>Kommune</c:v>
                </c:pt>
                <c:pt idx="3">
                  <c:v>Alle</c:v>
                </c:pt>
                <c:pt idx="4">
                  <c:v>Privat</c:v>
                </c:pt>
              </c:strCache>
            </c:strRef>
          </c:cat>
          <c:val>
            <c:numRef>
              <c:f>'Nivå sektorer'!$D$15:$D$19</c:f>
              <c:numCache>
                <c:formatCode>0.0</c:formatCode>
                <c:ptCount val="5"/>
                <c:pt idx="0">
                  <c:v>66.078431372548948</c:v>
                </c:pt>
                <c:pt idx="1">
                  <c:v>44.990079365079367</c:v>
                </c:pt>
                <c:pt idx="2">
                  <c:v>37.927625074154641</c:v>
                </c:pt>
                <c:pt idx="3">
                  <c:v>23.645247984363532</c:v>
                </c:pt>
                <c:pt idx="4">
                  <c:v>13.018164881229623</c:v>
                </c:pt>
              </c:numCache>
            </c:numRef>
          </c:val>
        </c:ser>
        <c:gapWidth val="30"/>
        <c:overlap val="-5"/>
        <c:axId val="257116032"/>
        <c:axId val="257117568"/>
      </c:barChart>
      <c:catAx>
        <c:axId val="257116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7117568"/>
        <c:crosses val="autoZero"/>
        <c:auto val="1"/>
        <c:lblAlgn val="ctr"/>
        <c:lblOffset val="100"/>
      </c:catAx>
      <c:valAx>
        <c:axId val="257117568"/>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7116032"/>
        <c:crosses val="autoZero"/>
        <c:crossBetween val="between"/>
      </c:valAx>
      <c:spPr>
        <a:noFill/>
        <a:ln>
          <a:noFill/>
        </a:ln>
        <a:effectLst/>
      </c:spPr>
    </c:plotArea>
    <c:legend>
      <c:legendPos val="b"/>
      <c:layout>
        <c:manualLayout>
          <c:xMode val="edge"/>
          <c:yMode val="edge"/>
          <c:x val="0.40055196352488481"/>
          <c:y val="2.3225683969327598E-2"/>
          <c:w val="0.5960440717268064"/>
          <c:h val="0.1066267305940215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nb-NO"/>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pivotSource>
    <c:name>[Glåmdal grunnmur.xlsx]Relativ flytting!Relativ flytting</c:name>
    <c:fmtId val="56"/>
  </c:pivotSource>
  <c:chart>
    <c:pivotFmts>
      <c:pivotFmt>
        <c:idx val="0"/>
        <c:spPr>
          <a:solidFill>
            <a:schemeClr val="accent1"/>
          </a:solidFill>
          <a:ln>
            <a:noFill/>
          </a:ln>
          <a:effectLst/>
        </c:spPr>
        <c:marker>
          <c:symbol val="none"/>
        </c:marker>
      </c:pivotFmt>
      <c:pivotFmt>
        <c:idx val="1"/>
        <c:spPr>
          <a:solidFill>
            <a:schemeClr val="bg1">
              <a:lumMod val="65000"/>
            </a:schemeClr>
          </a:solidFill>
          <a:ln w="25400">
            <a:noFill/>
          </a:ln>
          <a:effectLst/>
        </c:spPr>
        <c:marker>
          <c:symbol val="none"/>
        </c:marker>
      </c:pivotFmt>
      <c:pivotFmt>
        <c:idx val="2"/>
        <c:spPr>
          <a:solidFill>
            <a:schemeClr val="accent6"/>
          </a:solidFill>
          <a:ln w="25400">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1"/>
          </a:solidFill>
          <a:ln>
            <a:noFill/>
          </a:ln>
          <a:effectLst/>
        </c:spPr>
        <c:marker>
          <c:symbol val="none"/>
        </c:marker>
      </c:pivotFmt>
      <c:pivotFmt>
        <c:idx val="5"/>
        <c:spPr>
          <a:solidFill>
            <a:schemeClr val="bg1">
              <a:lumMod val="65000"/>
            </a:schemeClr>
          </a:solidFill>
          <a:ln w="25400">
            <a:noFill/>
          </a:ln>
          <a:effectLst/>
        </c:spPr>
        <c:marker>
          <c:symbol val="none"/>
        </c:marker>
      </c:pivotFmt>
      <c:pivotFmt>
        <c:idx val="6"/>
        <c:spPr>
          <a:solidFill>
            <a:schemeClr val="accent6"/>
          </a:solidFill>
          <a:ln w="25400">
            <a:noFill/>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a:noFill/>
          </a:ln>
          <a:effectLst/>
        </c:spPr>
        <c:marker>
          <c:symbol val="none"/>
        </c:marker>
      </c:pivotFmt>
      <c:pivotFmt>
        <c:idx val="9"/>
        <c:spPr>
          <a:solidFill>
            <a:schemeClr val="bg1">
              <a:lumMod val="65000"/>
            </a:schemeClr>
          </a:solidFill>
          <a:ln w="25400">
            <a:noFill/>
          </a:ln>
          <a:effectLst/>
        </c:spPr>
        <c:marker>
          <c:symbol val="none"/>
        </c:marker>
      </c:pivotFmt>
      <c:pivotFmt>
        <c:idx val="10"/>
        <c:spPr>
          <a:solidFill>
            <a:schemeClr val="accent6"/>
          </a:solidFill>
          <a:ln w="25400">
            <a:noFill/>
          </a:ln>
          <a:effectLst/>
        </c:spPr>
        <c:marker>
          <c:symbol val="none"/>
        </c:marker>
      </c:pivotFmt>
      <c:pivotFmt>
        <c:idx val="11"/>
        <c:spPr>
          <a:solidFill>
            <a:schemeClr val="accent1"/>
          </a:solidFill>
          <a:ln w="28575" cap="rnd">
            <a:solidFill>
              <a:schemeClr val="accent1"/>
            </a:solidFill>
            <a:round/>
          </a:ln>
          <a:effectLst/>
        </c:spPr>
        <c:marker>
          <c:symbol val="none"/>
        </c:marker>
      </c:pivotFmt>
    </c:pivotFmts>
    <c:plotArea>
      <c:layout/>
      <c:barChart>
        <c:barDir val="col"/>
        <c:grouping val="stacked"/>
        <c:ser>
          <c:idx val="0"/>
          <c:order val="0"/>
          <c:tx>
            <c:strRef>
              <c:f>'Relativ flytting'!$E$19</c:f>
              <c:strCache>
                <c:ptCount val="1"/>
                <c:pt idx="0">
                  <c:v>Relativ flytting</c:v>
                </c:pt>
              </c:strCache>
            </c:strRef>
          </c:tx>
          <c:spPr>
            <a:solidFill>
              <a:schemeClr val="accent1"/>
            </a:solidFill>
            <a:ln>
              <a:noFill/>
            </a:ln>
            <a:effectLst/>
          </c:spPr>
          <c:cat>
            <c:strRef>
              <c:f>'Relativ flytting'!$D$20:$D$33</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'Relativ flytting'!$E$20:$E$33</c:f>
              <c:numCache>
                <c:formatCode>0.0</c:formatCode>
                <c:ptCount val="14"/>
                <c:pt idx="0">
                  <c:v>0.32072237767105694</c:v>
                </c:pt>
                <c:pt idx="1">
                  <c:v>3.4722631476233279E-2</c:v>
                </c:pt>
                <c:pt idx="2">
                  <c:v>-7.9844849319333257E-3</c:v>
                </c:pt>
                <c:pt idx="3">
                  <c:v>3.3329184037068707E-2</c:v>
                </c:pt>
                <c:pt idx="4">
                  <c:v>-0.23264614490282504</c:v>
                </c:pt>
                <c:pt idx="5">
                  <c:v>-0.40216495228831034</c:v>
                </c:pt>
                <c:pt idx="6">
                  <c:v>-0.33093525629088172</c:v>
                </c:pt>
                <c:pt idx="7">
                  <c:v>-0.21385012711780266</c:v>
                </c:pt>
                <c:pt idx="8">
                  <c:v>-0.4165610865353801</c:v>
                </c:pt>
                <c:pt idx="9">
                  <c:v>-0.26906656656696337</c:v>
                </c:pt>
                <c:pt idx="10">
                  <c:v>-0.37133894847147841</c:v>
                </c:pt>
                <c:pt idx="11">
                  <c:v>-0.39177506727398281</c:v>
                </c:pt>
                <c:pt idx="12">
                  <c:v>-0.44450238682686183</c:v>
                </c:pt>
                <c:pt idx="13">
                  <c:v>-0.28525344023203025</c:v>
                </c:pt>
              </c:numCache>
            </c:numRef>
          </c:val>
        </c:ser>
        <c:ser>
          <c:idx val="1"/>
          <c:order val="1"/>
          <c:tx>
            <c:strRef>
              <c:f>'Relativ flytting'!$F$19</c:f>
              <c:strCache>
                <c:ptCount val="1"/>
                <c:pt idx="0">
                  <c:v>Innvandring Norge</c:v>
                </c:pt>
              </c:strCache>
            </c:strRef>
          </c:tx>
          <c:spPr>
            <a:solidFill>
              <a:schemeClr val="bg1">
                <a:lumMod val="65000"/>
              </a:schemeClr>
            </a:solidFill>
            <a:ln w="25400">
              <a:noFill/>
            </a:ln>
            <a:effectLst/>
          </c:spPr>
          <c:cat>
            <c:strRef>
              <c:f>'Relativ flytting'!$D$20:$D$33</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'Relativ flytting'!$F$20:$F$33</c:f>
              <c:numCache>
                <c:formatCode>0.0</c:formatCode>
                <c:ptCount val="14"/>
                <c:pt idx="0">
                  <c:v>0.21632257429222349</c:v>
                </c:pt>
                <c:pt idx="1">
                  <c:v>0.17664290110928638</c:v>
                </c:pt>
                <c:pt idx="2">
                  <c:v>0.37961426734269599</c:v>
                </c:pt>
                <c:pt idx="3">
                  <c:v>0.24789928149847604</c:v>
                </c:pt>
                <c:pt idx="4">
                  <c:v>0.28861002954260423</c:v>
                </c:pt>
                <c:pt idx="5">
                  <c:v>0.40029411490149591</c:v>
                </c:pt>
                <c:pt idx="6">
                  <c:v>0.51124742172729321</c:v>
                </c:pt>
                <c:pt idx="7">
                  <c:v>0.84705970818182108</c:v>
                </c:pt>
                <c:pt idx="8">
                  <c:v>0.91501868942455322</c:v>
                </c:pt>
                <c:pt idx="9">
                  <c:v>0.80506295564392116</c:v>
                </c:pt>
                <c:pt idx="10">
                  <c:v>0.87163988136344384</c:v>
                </c:pt>
                <c:pt idx="11">
                  <c:v>0.95587570282736534</c:v>
                </c:pt>
                <c:pt idx="12">
                  <c:v>0.94954340967574369</c:v>
                </c:pt>
                <c:pt idx="13">
                  <c:v>0.7933244576864259</c:v>
                </c:pt>
              </c:numCache>
            </c:numRef>
          </c:val>
        </c:ser>
        <c:ser>
          <c:idx val="2"/>
          <c:order val="2"/>
          <c:tx>
            <c:strRef>
              <c:f>'Relativ flytting'!$G$19</c:f>
              <c:strCache>
                <c:ptCount val="1"/>
                <c:pt idx="0">
                  <c:v>Fødselsbalanse</c:v>
                </c:pt>
              </c:strCache>
            </c:strRef>
          </c:tx>
          <c:spPr>
            <a:solidFill>
              <a:schemeClr val="accent6"/>
            </a:solidFill>
            <a:ln w="25400">
              <a:noFill/>
            </a:ln>
            <a:effectLst/>
          </c:spPr>
          <c:cat>
            <c:strRef>
              <c:f>'Relativ flytting'!$D$20:$D$33</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'Relativ flytting'!$G$20:$G$33</c:f>
              <c:numCache>
                <c:formatCode>0.0</c:formatCode>
                <c:ptCount val="14"/>
                <c:pt idx="0">
                  <c:v>-0.31776708230353262</c:v>
                </c:pt>
                <c:pt idx="1">
                  <c:v>-0.4227310651710392</c:v>
                </c:pt>
                <c:pt idx="2">
                  <c:v>-0.58903320512105817</c:v>
                </c:pt>
                <c:pt idx="3">
                  <c:v>-0.44139832007896745</c:v>
                </c:pt>
                <c:pt idx="4">
                  <c:v>-0.35257247323060886</c:v>
                </c:pt>
                <c:pt idx="5">
                  <c:v>-0.40597171293871137</c:v>
                </c:pt>
                <c:pt idx="6">
                  <c:v>-0.53154523769275563</c:v>
                </c:pt>
                <c:pt idx="7">
                  <c:v>-0.44475434860448887</c:v>
                </c:pt>
                <c:pt idx="8">
                  <c:v>-0.49281468663005062</c:v>
                </c:pt>
                <c:pt idx="9">
                  <c:v>-0.526592943654555</c:v>
                </c:pt>
                <c:pt idx="10">
                  <c:v>-0.47773096599458337</c:v>
                </c:pt>
                <c:pt idx="11">
                  <c:v>-0.40803279305028034</c:v>
                </c:pt>
                <c:pt idx="12">
                  <c:v>-0.37925013611700431</c:v>
                </c:pt>
                <c:pt idx="13">
                  <c:v>-0.52869382628095762</c:v>
                </c:pt>
              </c:numCache>
            </c:numRef>
          </c:val>
        </c:ser>
        <c:gapWidth val="30"/>
        <c:overlap val="100"/>
        <c:axId val="205265920"/>
        <c:axId val="205275904"/>
      </c:barChart>
      <c:lineChart>
        <c:grouping val="stacked"/>
        <c:ser>
          <c:idx val="3"/>
          <c:order val="3"/>
          <c:tx>
            <c:strRef>
              <c:f>'Relativ flytting'!$H$19</c:f>
              <c:strCache>
                <c:ptCount val="1"/>
                <c:pt idx="0">
                  <c:v>Befolkningsvekst</c:v>
                </c:pt>
              </c:strCache>
            </c:strRef>
          </c:tx>
          <c:spPr>
            <a:ln w="28575" cap="rnd">
              <a:solidFill>
                <a:schemeClr val="accent4"/>
              </a:solidFill>
              <a:round/>
            </a:ln>
            <a:effectLst/>
          </c:spPr>
          <c:marker>
            <c:symbol val="none"/>
          </c:marker>
          <c:cat>
            <c:strRef>
              <c:f>'Relativ flytting'!$D$20:$D$33</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'Relativ flytting'!$H$20:$H$33</c:f>
              <c:numCache>
                <c:formatCode>0.0</c:formatCode>
                <c:ptCount val="14"/>
                <c:pt idx="0">
                  <c:v>0.2267110177838069</c:v>
                </c:pt>
                <c:pt idx="1">
                  <c:v>-0.21878186706220454</c:v>
                </c:pt>
                <c:pt idx="2">
                  <c:v>-0.23041046509467275</c:v>
                </c:pt>
                <c:pt idx="3">
                  <c:v>-0.16203229471253244</c:v>
                </c:pt>
                <c:pt idx="4">
                  <c:v>-0.28728127448419954</c:v>
                </c:pt>
                <c:pt idx="5">
                  <c:v>-0.39474668861782547</c:v>
                </c:pt>
                <c:pt idx="6">
                  <c:v>-0.33432880674668047</c:v>
                </c:pt>
                <c:pt idx="7">
                  <c:v>0.19033978478412458</c:v>
                </c:pt>
                <c:pt idx="8">
                  <c:v>1.5047776690993907E-2</c:v>
                </c:pt>
                <c:pt idx="9">
                  <c:v>-7.5227563379222139E-3</c:v>
                </c:pt>
                <c:pt idx="10">
                  <c:v>2.6331628046945544E-2</c:v>
                </c:pt>
                <c:pt idx="11">
                  <c:v>0.15230717159941343</c:v>
                </c:pt>
                <c:pt idx="12">
                  <c:v>0.14268817002421938</c:v>
                </c:pt>
                <c:pt idx="13">
                  <c:v>-3.9370816850709624E-2</c:v>
                </c:pt>
              </c:numCache>
            </c:numRef>
          </c:val>
        </c:ser>
        <c:marker val="1"/>
        <c:axId val="205265920"/>
        <c:axId val="205275904"/>
      </c:lineChart>
      <c:catAx>
        <c:axId val="205265920"/>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05275904"/>
        <c:crosses val="autoZero"/>
        <c:auto val="1"/>
        <c:lblAlgn val="ctr"/>
        <c:lblOffset val="100"/>
      </c:catAx>
      <c:valAx>
        <c:axId val="205275904"/>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05265920"/>
        <c:crosses val="autoZero"/>
        <c:crossBetween val="between"/>
      </c:valAx>
      <c:spPr>
        <a:noFill/>
        <a:ln>
          <a:noFill/>
        </a:ln>
        <a:effectLst/>
      </c:spPr>
    </c:plotArea>
    <c:legend>
      <c:legendPos val="t"/>
      <c:layout>
        <c:manualLayout>
          <c:xMode val="edge"/>
          <c:yMode val="edge"/>
          <c:x val="7.0138279339361079E-2"/>
          <c:y val="6.4646456419762185E-3"/>
          <c:w val="0.58553466765014939"/>
          <c:h val="0.1617516560429947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723078311486158"/>
          <c:y val="2.4583713220058027E-2"/>
          <c:w val="0.55367822575186698"/>
          <c:h val="0.92781558226274352"/>
        </c:manualLayout>
      </c:layout>
      <c:barChart>
        <c:barDir val="bar"/>
        <c:grouping val="clustered"/>
        <c:ser>
          <c:idx val="0"/>
          <c:order val="0"/>
          <c:spPr>
            <a:solidFill>
              <a:srgbClr val="0070C0"/>
            </a:solidFill>
            <a:ln>
              <a:noFill/>
            </a:ln>
            <a:effectLst/>
          </c:spPr>
          <c:dPt>
            <c:idx val="2"/>
            <c:spPr>
              <a:solidFill>
                <a:srgbClr val="C00000"/>
              </a:solidFill>
              <a:ln>
                <a:noFill/>
              </a:ln>
              <a:effectLst/>
            </c:spPr>
          </c:dPt>
          <c:dPt>
            <c:idx val="8"/>
            <c:spPr>
              <a:solidFill>
                <a:srgbClr val="92D050"/>
              </a:solidFill>
              <a:ln>
                <a:noFill/>
              </a:ln>
              <a:effectLst/>
            </c:spPr>
          </c:dPt>
          <c:dPt>
            <c:idx val="12"/>
            <c:spPr>
              <a:solidFill>
                <a:srgbClr val="92D050"/>
              </a:solidFill>
              <a:ln>
                <a:noFill/>
              </a:ln>
              <a:effectLst/>
            </c:spPr>
          </c:dPt>
          <c:dPt>
            <c:idx val="20"/>
            <c:spPr>
              <a:solidFill>
                <a:srgbClr val="92D050"/>
              </a:soli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Regioner Nliv andel'!$D$2:$D$32</c:f>
              <c:strCache>
                <c:ptCount val="31"/>
                <c:pt idx="0">
                  <c:v>Nord-Gudbrandsdal - 83</c:v>
                </c:pt>
                <c:pt idx="1">
                  <c:v>Midt-Gudbrandsdal - 77</c:v>
                </c:pt>
                <c:pt idx="2">
                  <c:v>Glåmdal - 76</c:v>
                </c:pt>
                <c:pt idx="3">
                  <c:v>Indre Østfold - 63</c:v>
                </c:pt>
                <c:pt idx="4">
                  <c:v>Valdres - 62</c:v>
                </c:pt>
                <c:pt idx="5">
                  <c:v>Setesdal - 58</c:v>
                </c:pt>
                <c:pt idx="6">
                  <c:v>Hallingdal - 55</c:v>
                </c:pt>
                <c:pt idx="7">
                  <c:v>Øst-Telemark - 54</c:v>
                </c:pt>
                <c:pt idx="8">
                  <c:v>Fjellregionen - 51</c:v>
                </c:pt>
                <c:pt idx="9">
                  <c:v>Midt-Buskerud - 49</c:v>
                </c:pt>
                <c:pt idx="10">
                  <c:v>Hadeland - 47</c:v>
                </c:pt>
                <c:pt idx="11">
                  <c:v>Gjøvikregionen - 45</c:v>
                </c:pt>
                <c:pt idx="12">
                  <c:v>Sør Østerdal - 42</c:v>
                </c:pt>
                <c:pt idx="13">
                  <c:v>Øvre Romerike - 39</c:v>
                </c:pt>
                <c:pt idx="14">
                  <c:v>Vest-Telemark - 33</c:v>
                </c:pt>
                <c:pt idx="15">
                  <c:v>Nedre Glomma - 32</c:v>
                </c:pt>
                <c:pt idx="16">
                  <c:v>Midt-Telemark - 30</c:v>
                </c:pt>
                <c:pt idx="17">
                  <c:v>Nedre Romerike - 25</c:v>
                </c:pt>
                <c:pt idx="18">
                  <c:v>Mosseregionen - 24</c:v>
                </c:pt>
                <c:pt idx="19">
                  <c:v>Grenland - 22</c:v>
                </c:pt>
                <c:pt idx="20">
                  <c:v>Hamarregionen - 21</c:v>
                </c:pt>
                <c:pt idx="21">
                  <c:v>Drammensregionen - 20</c:v>
                </c:pt>
                <c:pt idx="22">
                  <c:v>Halden - 17</c:v>
                </c:pt>
                <c:pt idx="23">
                  <c:v>Sandefjord/Larvik - 16</c:v>
                </c:pt>
                <c:pt idx="24">
                  <c:v>Ringerike/Hole - 15</c:v>
                </c:pt>
                <c:pt idx="25">
                  <c:v>Tønsbergregionen - 12</c:v>
                </c:pt>
                <c:pt idx="26">
                  <c:v>Follo - 11</c:v>
                </c:pt>
                <c:pt idx="27">
                  <c:v>Lillehammerregionen - 9</c:v>
                </c:pt>
                <c:pt idx="28">
                  <c:v>Kongsberg/Numedal - 3</c:v>
                </c:pt>
                <c:pt idx="29">
                  <c:v>Oslo - 2</c:v>
                </c:pt>
                <c:pt idx="30">
                  <c:v>Akershus Vest - 1</c:v>
                </c:pt>
              </c:strCache>
            </c:strRef>
          </c:cat>
          <c:val>
            <c:numRef>
              <c:f>'Copy Regioner Nliv andel'!$R$2:$R$32</c:f>
              <c:numCache>
                <c:formatCode>0.0</c:formatCode>
                <c:ptCount val="31"/>
                <c:pt idx="0">
                  <c:v>11.430018571669764</c:v>
                </c:pt>
                <c:pt idx="1">
                  <c:v>12.645348837209307</c:v>
                </c:pt>
                <c:pt idx="2">
                  <c:v>13.018164881229623</c:v>
                </c:pt>
                <c:pt idx="3">
                  <c:v>14.503919072821066</c:v>
                </c:pt>
                <c:pt idx="4">
                  <c:v>14.529342919244277</c:v>
                </c:pt>
                <c:pt idx="5">
                  <c:v>15.344908493664946</c:v>
                </c:pt>
                <c:pt idx="6">
                  <c:v>15.664470071389349</c:v>
                </c:pt>
                <c:pt idx="7">
                  <c:v>15.75459193334596</c:v>
                </c:pt>
                <c:pt idx="8">
                  <c:v>16.23150565709313</c:v>
                </c:pt>
                <c:pt idx="9">
                  <c:v>16.388308977035489</c:v>
                </c:pt>
                <c:pt idx="10">
                  <c:v>16.582562377347895</c:v>
                </c:pt>
                <c:pt idx="11">
                  <c:v>16.97815702824283</c:v>
                </c:pt>
                <c:pt idx="12">
                  <c:v>17.189851644807579</c:v>
                </c:pt>
                <c:pt idx="13">
                  <c:v>17.68674543224223</c:v>
                </c:pt>
                <c:pt idx="14">
                  <c:v>18.377635197066915</c:v>
                </c:pt>
                <c:pt idx="15">
                  <c:v>18.503536418910532</c:v>
                </c:pt>
                <c:pt idx="16">
                  <c:v>18.898773743688388</c:v>
                </c:pt>
                <c:pt idx="17">
                  <c:v>19.84178203393358</c:v>
                </c:pt>
                <c:pt idx="18">
                  <c:v>19.951749095295529</c:v>
                </c:pt>
                <c:pt idx="19">
                  <c:v>20.185036425583771</c:v>
                </c:pt>
                <c:pt idx="20">
                  <c:v>20.638016042387218</c:v>
                </c:pt>
                <c:pt idx="21">
                  <c:v>20.650537634408604</c:v>
                </c:pt>
                <c:pt idx="22">
                  <c:v>21.115302994576744</c:v>
                </c:pt>
                <c:pt idx="23">
                  <c:v>21.383057213763493</c:v>
                </c:pt>
                <c:pt idx="24">
                  <c:v>21.625924885267384</c:v>
                </c:pt>
                <c:pt idx="25">
                  <c:v>23.116594694632944</c:v>
                </c:pt>
                <c:pt idx="26">
                  <c:v>23.20854050892072</c:v>
                </c:pt>
                <c:pt idx="27">
                  <c:v>24.032403240324022</c:v>
                </c:pt>
                <c:pt idx="28">
                  <c:v>35.357385976855007</c:v>
                </c:pt>
                <c:pt idx="29">
                  <c:v>42.482837767968398</c:v>
                </c:pt>
                <c:pt idx="30">
                  <c:v>47.013798626701863</c:v>
                </c:pt>
              </c:numCache>
            </c:numRef>
          </c:val>
        </c:ser>
        <c:gapWidth val="30"/>
        <c:axId val="257159552"/>
        <c:axId val="257161088"/>
      </c:barChart>
      <c:catAx>
        <c:axId val="2571595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7161088"/>
        <c:crosses val="autoZero"/>
        <c:auto val="1"/>
        <c:lblAlgn val="ctr"/>
        <c:lblOffset val="100"/>
      </c:catAx>
      <c:valAx>
        <c:axId val="257161088"/>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715955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363829521309845"/>
          <c:y val="2.6976050626466162E-2"/>
          <c:w val="0.6166035495563057"/>
          <c:h val="0.91712268068108149"/>
        </c:manualLayout>
      </c:layout>
      <c:barChart>
        <c:barDir val="bar"/>
        <c:grouping val="clustered"/>
        <c:ser>
          <c:idx val="0"/>
          <c:order val="0"/>
          <c:spPr>
            <a:solidFill>
              <a:schemeClr val="accent1"/>
            </a:solidFill>
            <a:ln>
              <a:noFill/>
            </a:ln>
            <a:effectLst/>
          </c:spPr>
          <c:dPt>
            <c:idx val="0"/>
            <c:spPr>
              <a:solidFill>
                <a:srgbClr val="C00000"/>
              </a:solidFill>
              <a:ln>
                <a:noFill/>
              </a:ln>
              <a:effectLst/>
            </c:spPr>
          </c:dPt>
          <c:dPt>
            <c:idx val="1"/>
            <c:spPr>
              <a:solidFill>
                <a:srgbClr val="C00000"/>
              </a:solidFill>
              <a:ln>
                <a:noFill/>
              </a:ln>
              <a:effectLst/>
            </c:spPr>
          </c:dPt>
          <c:dPt>
            <c:idx val="3"/>
            <c:spPr>
              <a:solidFill>
                <a:srgbClr val="C00000"/>
              </a:solidFill>
              <a:ln>
                <a:noFill/>
              </a:ln>
              <a:effectLst/>
            </c:spPr>
          </c:dPt>
          <c:dPt>
            <c:idx val="5"/>
            <c:spPr>
              <a:solidFill>
                <a:srgbClr val="C00000"/>
              </a:solidFill>
              <a:ln>
                <a:noFill/>
              </a:ln>
              <a:effectLst/>
            </c:spPr>
          </c:dPt>
          <c:dPt>
            <c:idx val="6"/>
            <c:spPr>
              <a:solidFill>
                <a:srgbClr val="C00000"/>
              </a:solidFill>
              <a:ln>
                <a:noFill/>
              </a:ln>
              <a:effectLst/>
            </c:spPr>
          </c:dPt>
          <c:dPt>
            <c:idx val="7"/>
            <c:spPr>
              <a:solidFill>
                <a:srgbClr val="C00000"/>
              </a:solidFill>
              <a:ln>
                <a:noFill/>
              </a:ln>
              <a:effectLst/>
            </c:spPr>
          </c:dPt>
          <c:dPt>
            <c:idx val="8"/>
            <c:spPr>
              <a:solidFill>
                <a:srgbClr val="C00000"/>
              </a:solidFill>
              <a:ln>
                <a:noFill/>
              </a:ln>
              <a:effectLst/>
            </c:spPr>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 Nliv'!$F$43:$F$64</c:f>
              <c:strCache>
                <c:ptCount val="22"/>
                <c:pt idx="0">
                  <c:v>Eidskog - 407</c:v>
                </c:pt>
                <c:pt idx="1">
                  <c:v>Sør-Odal - 349</c:v>
                </c:pt>
                <c:pt idx="2">
                  <c:v>Alvdal - 346</c:v>
                </c:pt>
                <c:pt idx="3">
                  <c:v>Nord-Odal - 337</c:v>
                </c:pt>
                <c:pt idx="4">
                  <c:v>Trysil - 311</c:v>
                </c:pt>
                <c:pt idx="5">
                  <c:v>Våler - 288</c:v>
                </c:pt>
                <c:pt idx="6">
                  <c:v>Grue - 262</c:v>
                </c:pt>
                <c:pt idx="7">
                  <c:v>Kongsvinger - 259</c:v>
                </c:pt>
                <c:pt idx="8">
                  <c:v>Åsnes - 254</c:v>
                </c:pt>
                <c:pt idx="9">
                  <c:v>Engerdal - 236</c:v>
                </c:pt>
                <c:pt idx="10">
                  <c:v>Rendalen - 223</c:v>
                </c:pt>
                <c:pt idx="11">
                  <c:v>Stor-Elvdal - 207</c:v>
                </c:pt>
                <c:pt idx="12">
                  <c:v>Ringsaker - 181</c:v>
                </c:pt>
                <c:pt idx="13">
                  <c:v>Tynset - 150</c:v>
                </c:pt>
                <c:pt idx="14">
                  <c:v>Løten - 125</c:v>
                </c:pt>
                <c:pt idx="15">
                  <c:v>Åmot - 111</c:v>
                </c:pt>
                <c:pt idx="16">
                  <c:v>Os - 106</c:v>
                </c:pt>
                <c:pt idx="17">
                  <c:v>Folldal - 98</c:v>
                </c:pt>
                <c:pt idx="18">
                  <c:v>Stange - 87</c:v>
                </c:pt>
                <c:pt idx="19">
                  <c:v>Elverum - 84</c:v>
                </c:pt>
                <c:pt idx="20">
                  <c:v>Tolga - 43</c:v>
                </c:pt>
                <c:pt idx="21">
                  <c:v>Hamar - 21</c:v>
                </c:pt>
              </c:strCache>
            </c:strRef>
          </c:cat>
          <c:val>
            <c:numRef>
              <c:f>'Kom Nliv'!$T$43:$T$64</c:f>
              <c:numCache>
                <c:formatCode>0.0</c:formatCode>
                <c:ptCount val="22"/>
                <c:pt idx="0">
                  <c:v>9.4976452119309265</c:v>
                </c:pt>
                <c:pt idx="1">
                  <c:v>11.608832807570979</c:v>
                </c:pt>
                <c:pt idx="2">
                  <c:v>11.635944700460826</c:v>
                </c:pt>
                <c:pt idx="3">
                  <c:v>11.783783783783781</c:v>
                </c:pt>
                <c:pt idx="4">
                  <c:v>12.445175438596491</c:v>
                </c:pt>
                <c:pt idx="5">
                  <c:v>13.034188034188034</c:v>
                </c:pt>
                <c:pt idx="6">
                  <c:v>13.884430176565015</c:v>
                </c:pt>
                <c:pt idx="7">
                  <c:v>13.945578231292517</c:v>
                </c:pt>
                <c:pt idx="8">
                  <c:v>14.129301355578724</c:v>
                </c:pt>
                <c:pt idx="9">
                  <c:v>14.478114478114474</c:v>
                </c:pt>
                <c:pt idx="10">
                  <c:v>14.705882352941176</c:v>
                </c:pt>
                <c:pt idx="11">
                  <c:v>15.111940298507466</c:v>
                </c:pt>
                <c:pt idx="12">
                  <c:v>15.73613953035175</c:v>
                </c:pt>
                <c:pt idx="13">
                  <c:v>16.633266533066127</c:v>
                </c:pt>
                <c:pt idx="14">
                  <c:v>17.347865576748418</c:v>
                </c:pt>
                <c:pt idx="15">
                  <c:v>17.861205915813436</c:v>
                </c:pt>
                <c:pt idx="16">
                  <c:v>17.926565874730013</c:v>
                </c:pt>
                <c:pt idx="17">
                  <c:v>18.203309692671382</c:v>
                </c:pt>
                <c:pt idx="18">
                  <c:v>18.857938718662961</c:v>
                </c:pt>
                <c:pt idx="19">
                  <c:v>18.921262573707924</c:v>
                </c:pt>
                <c:pt idx="20">
                  <c:v>21.782178217821777</c:v>
                </c:pt>
                <c:pt idx="21">
                  <c:v>25.572643979057585</c:v>
                </c:pt>
              </c:numCache>
            </c:numRef>
          </c:val>
        </c:ser>
        <c:gapWidth val="30"/>
        <c:axId val="258388736"/>
        <c:axId val="258390272"/>
      </c:barChart>
      <c:catAx>
        <c:axId val="2583887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390272"/>
        <c:crosses val="autoZero"/>
        <c:auto val="1"/>
        <c:lblAlgn val="ctr"/>
        <c:lblOffset val="100"/>
      </c:catAx>
      <c:valAx>
        <c:axId val="25839027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38873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013926200401418"/>
          <c:y val="2.1833760582104837E-2"/>
          <c:w val="0.58217446348618185"/>
          <c:h val="0.9243848161059306"/>
        </c:manualLayout>
      </c:layout>
      <c:barChart>
        <c:barDir val="bar"/>
        <c:grouping val="clustered"/>
        <c:ser>
          <c:idx val="0"/>
          <c:order val="0"/>
          <c:tx>
            <c:strRef>
              <c:f>Bransjejustert!$D$31</c:f>
              <c:strCache>
                <c:ptCount val="1"/>
                <c:pt idx="0">
                  <c:v>Norge</c:v>
                </c:pt>
              </c:strCache>
            </c:strRef>
          </c:tx>
          <c:spPr>
            <a:solidFill>
              <a:schemeClr val="bg1">
                <a:lumMod val="65000"/>
              </a:schemeClr>
            </a:solidFill>
            <a:ln>
              <a:noFill/>
            </a:ln>
            <a:effectLst/>
          </c:spPr>
          <c:cat>
            <c:multiLvlStrRef>
              <c:f>(Bransjejustert!$B$32:$C$33,Bransjejustert!$B$35:$C$36,Bransjejustert!$B$38:$C$39,Bransjejustert!$B$41:$C$54)</c:f>
              <c:multiLvlStrCache>
                <c:ptCount val="20"/>
                <c:lvl>
                  <c:pt idx="0">
                    <c:v>Anna industri</c:v>
                  </c:pt>
                  <c:pt idx="1">
                    <c:v>Næringsmidler</c:v>
                  </c:pt>
                  <c:pt idx="2">
                    <c:v>Prosessindustri</c:v>
                  </c:pt>
                  <c:pt idx="3">
                    <c:v>Verkstedindustri</c:v>
                  </c:pt>
                  <c:pt idx="4">
                    <c:v>Gruve</c:v>
                  </c:pt>
                  <c:pt idx="5">
                    <c:v>Landbruk</c:v>
                  </c:pt>
                  <c:pt idx="6">
                    <c:v>Teknisk/vitenskap</c:v>
                  </c:pt>
                  <c:pt idx="7">
                    <c:v>Tele og IKT</c:v>
                  </c:pt>
                  <c:pt idx="8">
                    <c:v>Aktivitet</c:v>
                  </c:pt>
                  <c:pt idx="9">
                    <c:v>Handel</c:v>
                  </c:pt>
                  <c:pt idx="10">
                    <c:v>Overnatting</c:v>
                  </c:pt>
                  <c:pt idx="11">
                    <c:v>Servering</c:v>
                  </c:pt>
                  <c:pt idx="12">
                    <c:v>Lokal</c:v>
                  </c:pt>
                  <c:pt idx="13">
                    <c:v>Agentur og Engros</c:v>
                  </c:pt>
                  <c:pt idx="14">
                    <c:v>Bygg og anlegg</c:v>
                  </c:pt>
                  <c:pt idx="15">
                    <c:v>Diverse</c:v>
                  </c:pt>
                  <c:pt idx="16">
                    <c:v>Finans, eiendom, uteie</c:v>
                  </c:pt>
                  <c:pt idx="17">
                    <c:v>Forr tjenesteyting</c:v>
                  </c:pt>
                  <c:pt idx="18">
                    <c:v>Transport</c:v>
                  </c:pt>
                  <c:pt idx="19">
                    <c:v>Utleie av arbeidskraft</c:v>
                  </c:pt>
                </c:lvl>
                <c:lvl>
                  <c:pt idx="0">
                    <c:v>Industri</c:v>
                  </c:pt>
                  <c:pt idx="8">
                    <c:v>Besøk</c:v>
                  </c:pt>
                  <c:pt idx="12">
                    <c:v>-</c:v>
                  </c:pt>
                  <c:pt idx="13">
                    <c:v>Regional</c:v>
                  </c:pt>
                </c:lvl>
              </c:multiLvlStrCache>
              <c:extLst>
                <c:ext xmlns:c15="http://schemas.microsoft.com/office/drawing/2012/chart" uri="{02D57815-91ED-43cb-92C2-25804820EDAC}">
                  <c15:fullRef>
                    <c15:sqref>Bransjejustert!$B$32:$C$54</c15:sqref>
                  </c15:fullRef>
                </c:ext>
              </c:extLst>
            </c:multiLvlStrRef>
          </c:cat>
          <c:val>
            <c:numRef>
              <c:f>(Bransjejustert!$D$32:$D$33,Bransjejustert!$D$35:$D$36,Bransjejustert!$D$38:$D$39,Bransjejustert!$D$41:$D$54)</c:f>
              <c:numCache>
                <c:formatCode>0.0</c:formatCode>
                <c:ptCount val="20"/>
                <c:pt idx="0">
                  <c:v>17.705627705627691</c:v>
                </c:pt>
                <c:pt idx="1">
                  <c:v>14.840889320466918</c:v>
                </c:pt>
                <c:pt idx="2">
                  <c:v>22.269153291311969</c:v>
                </c:pt>
                <c:pt idx="3">
                  <c:v>25.098232724747323</c:v>
                </c:pt>
                <c:pt idx="4">
                  <c:v>8.1885317115551679</c:v>
                </c:pt>
                <c:pt idx="5">
                  <c:v>13.163034539473692</c:v>
                </c:pt>
                <c:pt idx="6">
                  <c:v>64.716540797541569</c:v>
                </c:pt>
                <c:pt idx="7">
                  <c:v>60.062495117568957</c:v>
                </c:pt>
                <c:pt idx="8">
                  <c:v>17.420274363085692</c:v>
                </c:pt>
                <c:pt idx="9">
                  <c:v>11.175990813142404</c:v>
                </c:pt>
                <c:pt idx="10">
                  <c:v>18.317689530685922</c:v>
                </c:pt>
                <c:pt idx="11">
                  <c:v>11.582851532671539</c:v>
                </c:pt>
                <c:pt idx="12">
                  <c:v>42.088298675704046</c:v>
                </c:pt>
                <c:pt idx="13">
                  <c:v>22.904888800338703</c:v>
                </c:pt>
                <c:pt idx="14">
                  <c:v>9.308945521257078</c:v>
                </c:pt>
                <c:pt idx="15">
                  <c:v>46.433974992959016</c:v>
                </c:pt>
                <c:pt idx="16">
                  <c:v>45.022457355237826</c:v>
                </c:pt>
                <c:pt idx="17">
                  <c:v>38.425464468373647</c:v>
                </c:pt>
                <c:pt idx="18">
                  <c:v>14.037644400415905</c:v>
                </c:pt>
                <c:pt idx="19">
                  <c:v>23.325684174740779</c:v>
                </c:pt>
              </c:numCache>
              <c:extLst>
                <c:ext xmlns:c15="http://schemas.microsoft.com/office/drawing/2012/chart" uri="{02D57815-91ED-43cb-92C2-25804820EDAC}">
                  <c15:fullRef>
                    <c15:sqref>Bransjejustert!$D$32:$D$54</c15:sqref>
                  </c15:fullRef>
                </c:ext>
              </c:extLst>
            </c:numRef>
          </c:val>
        </c:ser>
        <c:ser>
          <c:idx val="1"/>
          <c:order val="1"/>
          <c:tx>
            <c:strRef>
              <c:f>Bransjejustert!$E$31</c:f>
              <c:strCache>
                <c:ptCount val="1"/>
                <c:pt idx="0">
                  <c:v>Glåmdal</c:v>
                </c:pt>
              </c:strCache>
            </c:strRef>
          </c:tx>
          <c:spPr>
            <a:solidFill>
              <a:srgbClr val="C00000"/>
            </a:solidFill>
            <a:ln>
              <a:noFill/>
            </a:ln>
            <a:effectLst/>
          </c:spPr>
          <c:cat>
            <c:multiLvlStrRef>
              <c:f>(Bransjejustert!$B$32:$C$33,Bransjejustert!$B$35:$C$36,Bransjejustert!$B$38:$C$39,Bransjejustert!$B$41:$C$54)</c:f>
              <c:multiLvlStrCache>
                <c:ptCount val="20"/>
                <c:lvl>
                  <c:pt idx="0">
                    <c:v>Anna industri</c:v>
                  </c:pt>
                  <c:pt idx="1">
                    <c:v>Næringsmidler</c:v>
                  </c:pt>
                  <c:pt idx="2">
                    <c:v>Prosessindustri</c:v>
                  </c:pt>
                  <c:pt idx="3">
                    <c:v>Verkstedindustri</c:v>
                  </c:pt>
                  <c:pt idx="4">
                    <c:v>Gruve</c:v>
                  </c:pt>
                  <c:pt idx="5">
                    <c:v>Landbruk</c:v>
                  </c:pt>
                  <c:pt idx="6">
                    <c:v>Teknisk/vitenskap</c:v>
                  </c:pt>
                  <c:pt idx="7">
                    <c:v>Tele og IKT</c:v>
                  </c:pt>
                  <c:pt idx="8">
                    <c:v>Aktivitet</c:v>
                  </c:pt>
                  <c:pt idx="9">
                    <c:v>Handel</c:v>
                  </c:pt>
                  <c:pt idx="10">
                    <c:v>Overnatting</c:v>
                  </c:pt>
                  <c:pt idx="11">
                    <c:v>Servering</c:v>
                  </c:pt>
                  <c:pt idx="12">
                    <c:v>Lokal</c:v>
                  </c:pt>
                  <c:pt idx="13">
                    <c:v>Agentur og Engros</c:v>
                  </c:pt>
                  <c:pt idx="14">
                    <c:v>Bygg og anlegg</c:v>
                  </c:pt>
                  <c:pt idx="15">
                    <c:v>Diverse</c:v>
                  </c:pt>
                  <c:pt idx="16">
                    <c:v>Finans, eiendom, uteie</c:v>
                  </c:pt>
                  <c:pt idx="17">
                    <c:v>Forr tjenesteyting</c:v>
                  </c:pt>
                  <c:pt idx="18">
                    <c:v>Transport</c:v>
                  </c:pt>
                  <c:pt idx="19">
                    <c:v>Utleie av arbeidskraft</c:v>
                  </c:pt>
                </c:lvl>
                <c:lvl>
                  <c:pt idx="0">
                    <c:v>Industri</c:v>
                  </c:pt>
                  <c:pt idx="8">
                    <c:v>Besøk</c:v>
                  </c:pt>
                  <c:pt idx="12">
                    <c:v>-</c:v>
                  </c:pt>
                  <c:pt idx="13">
                    <c:v>Regional</c:v>
                  </c:pt>
                </c:lvl>
              </c:multiLvlStrCache>
              <c:extLst>
                <c:ext xmlns:c15="http://schemas.microsoft.com/office/drawing/2012/chart" uri="{02D57815-91ED-43cb-92C2-25804820EDAC}">
                  <c15:fullRef>
                    <c15:sqref>Bransjejustert!$B$32:$C$54</c15:sqref>
                  </c15:fullRef>
                </c:ext>
              </c:extLst>
            </c:multiLvlStrRef>
          </c:cat>
          <c:val>
            <c:numRef>
              <c:f>(Bransjejustert!$E$32:$E$33,Bransjejustert!$E$35:$E$36,Bransjejustert!$E$38:$E$39,Bransjejustert!$E$41:$E$54)</c:f>
              <c:numCache>
                <c:formatCode>0.0</c:formatCode>
                <c:ptCount val="20"/>
                <c:pt idx="0">
                  <c:v>6.6326530612244898</c:v>
                </c:pt>
                <c:pt idx="1">
                  <c:v>3.9215686274509798</c:v>
                </c:pt>
                <c:pt idx="2">
                  <c:v>16.470588235294116</c:v>
                </c:pt>
                <c:pt idx="3">
                  <c:v>7.8244274809160306</c:v>
                </c:pt>
                <c:pt idx="4">
                  <c:v>2.6785714285714293</c:v>
                </c:pt>
                <c:pt idx="5">
                  <c:v>15.327257663628831</c:v>
                </c:pt>
                <c:pt idx="6">
                  <c:v>51.754385964912274</c:v>
                </c:pt>
                <c:pt idx="7">
                  <c:v>32.584269662921344</c:v>
                </c:pt>
                <c:pt idx="8">
                  <c:v>9.762532981530347</c:v>
                </c:pt>
                <c:pt idx="9">
                  <c:v>6.6945606694560649</c:v>
                </c:pt>
                <c:pt idx="10">
                  <c:v>8.2758620689655178</c:v>
                </c:pt>
                <c:pt idx="11">
                  <c:v>6.1349693251533761</c:v>
                </c:pt>
                <c:pt idx="12">
                  <c:v>36.387434554973808</c:v>
                </c:pt>
                <c:pt idx="13">
                  <c:v>10.200927357032453</c:v>
                </c:pt>
                <c:pt idx="14">
                  <c:v>6.2953995157384988</c:v>
                </c:pt>
                <c:pt idx="15">
                  <c:v>21.482176360225125</c:v>
                </c:pt>
                <c:pt idx="16">
                  <c:v>23.63636363636363</c:v>
                </c:pt>
                <c:pt idx="17">
                  <c:v>27.607361963190193</c:v>
                </c:pt>
                <c:pt idx="18">
                  <c:v>2.0631067961165059</c:v>
                </c:pt>
                <c:pt idx="19">
                  <c:v>7.2340425531914896</c:v>
                </c:pt>
              </c:numCache>
              <c:extLst>
                <c:ext xmlns:c15="http://schemas.microsoft.com/office/drawing/2012/chart" uri="{02D57815-91ED-43cb-92C2-25804820EDAC}">
                  <c15:fullRef>
                    <c15:sqref>Bransjejustert!$E$32:$E$54</c15:sqref>
                  </c15:fullRef>
                </c:ext>
              </c:extLst>
            </c:numRef>
          </c:val>
        </c:ser>
        <c:gapWidth val="30"/>
        <c:axId val="258330624"/>
        <c:axId val="258332160"/>
      </c:barChart>
      <c:catAx>
        <c:axId val="25833062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332160"/>
        <c:crosses val="autoZero"/>
        <c:auto val="1"/>
        <c:lblAlgn val="ctr"/>
        <c:lblOffset val="100"/>
      </c:catAx>
      <c:valAx>
        <c:axId val="258332160"/>
        <c:scaling>
          <c:orientation val="minMax"/>
          <c:max val="70"/>
          <c:min val="0"/>
        </c:scaling>
        <c:axPos val="t"/>
        <c:majorGridlines>
          <c:spPr>
            <a:ln w="9525" cap="flat" cmpd="sng" algn="ctr">
              <a:solidFill>
                <a:schemeClr val="tx1">
                  <a:lumMod val="15000"/>
                  <a:lumOff val="85000"/>
                </a:schemeClr>
              </a:solidFill>
              <a:round/>
            </a:ln>
            <a:effectLst/>
          </c:spPr>
        </c:majorGridlines>
        <c:numFmt formatCode="0" sourceLinked="0"/>
        <c:maj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330624"/>
        <c:crosses val="autoZero"/>
        <c:crossBetween val="between"/>
        <c:majorUnit val="10"/>
      </c:valAx>
      <c:spPr>
        <a:noFill/>
        <a:ln>
          <a:noFill/>
        </a:ln>
        <a:effectLst/>
      </c:spPr>
    </c:plotArea>
    <c:legend>
      <c:legendPos val="t"/>
      <c:layout>
        <c:manualLayout>
          <c:xMode val="edge"/>
          <c:yMode val="edge"/>
          <c:x val="0.74933097209168753"/>
          <c:y val="7.6017035211497191E-2"/>
          <c:w val="0.20340487872860058"/>
          <c:h val="0.12027984693908358"/>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487798067794746"/>
          <c:y val="2.1249048257164494E-2"/>
          <c:w val="0.5963366281342487"/>
          <c:h val="0.93017276352932088"/>
        </c:manualLayout>
      </c:layout>
      <c:barChart>
        <c:barDir val="bar"/>
        <c:grouping val="stacked"/>
        <c:ser>
          <c:idx val="0"/>
          <c:order val="0"/>
          <c:tx>
            <c:strRef>
              <c:f>'Bransjejustert reg'!$E$1</c:f>
              <c:strCache>
                <c:ptCount val="1"/>
                <c:pt idx="0">
                  <c:v>Bransjejustert</c:v>
                </c:pt>
              </c:strCache>
            </c:strRef>
          </c:tx>
          <c:spPr>
            <a:solidFill>
              <a:srgbClr val="C00000"/>
            </a:solidFill>
            <a:ln>
              <a:noFill/>
            </a:ln>
            <a:effectLst/>
          </c:spPr>
          <c:dLbls>
            <c:dLbl>
              <c:idx val="0"/>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'Bransjejustert reg'!$D$2:$D$32</c:f>
              <c:strCache>
                <c:ptCount val="31"/>
                <c:pt idx="0">
                  <c:v>Glåmdal - 83</c:v>
                </c:pt>
                <c:pt idx="1">
                  <c:v>Nord-Gudbrandsdal - 80</c:v>
                </c:pt>
                <c:pt idx="2">
                  <c:v>Hadeland - 77</c:v>
                </c:pt>
                <c:pt idx="3">
                  <c:v>Indre Østfold - 75</c:v>
                </c:pt>
                <c:pt idx="4">
                  <c:v>Gjøvikregionen - 70</c:v>
                </c:pt>
                <c:pt idx="5">
                  <c:v>Øst-Telemark - 69</c:v>
                </c:pt>
                <c:pt idx="6">
                  <c:v>Midt-Gudbrandsdal - 64</c:v>
                </c:pt>
                <c:pt idx="7">
                  <c:v>Valdres - 63</c:v>
                </c:pt>
                <c:pt idx="8">
                  <c:v>Midt-Buskerud - 53</c:v>
                </c:pt>
                <c:pt idx="9">
                  <c:v>Halden - 49</c:v>
                </c:pt>
                <c:pt idx="10">
                  <c:v>Nedre Glomma - 48</c:v>
                </c:pt>
                <c:pt idx="11">
                  <c:v>Hallingdal - 46</c:v>
                </c:pt>
                <c:pt idx="12">
                  <c:v>Sør Østerdal - 43</c:v>
                </c:pt>
                <c:pt idx="13">
                  <c:v>Grenland - 42</c:v>
                </c:pt>
                <c:pt idx="14">
                  <c:v>Mosseregionen - 40</c:v>
                </c:pt>
                <c:pt idx="15">
                  <c:v>Fjellregionen - 36</c:v>
                </c:pt>
                <c:pt idx="16">
                  <c:v>Ringerike/Hole - 31</c:v>
                </c:pt>
                <c:pt idx="17">
                  <c:v>Drammensregionen - 29</c:v>
                </c:pt>
                <c:pt idx="18">
                  <c:v>Øvre Romerike - 28</c:v>
                </c:pt>
                <c:pt idx="19">
                  <c:v>Hamarregionen - 27</c:v>
                </c:pt>
                <c:pt idx="20">
                  <c:v>Nedre Romerike - 24</c:v>
                </c:pt>
                <c:pt idx="21">
                  <c:v>Midt-Telemark - 19</c:v>
                </c:pt>
                <c:pt idx="22">
                  <c:v>Vest-Telemark - 18</c:v>
                </c:pt>
                <c:pt idx="23">
                  <c:v>Sandefjord/Larvik - 15</c:v>
                </c:pt>
                <c:pt idx="24">
                  <c:v>Tønsbergregionen - 14</c:v>
                </c:pt>
                <c:pt idx="25">
                  <c:v>Vestviken - 13</c:v>
                </c:pt>
                <c:pt idx="26">
                  <c:v>Follo - 11</c:v>
                </c:pt>
                <c:pt idx="27">
                  <c:v>Lillehammerregionen - 7</c:v>
                </c:pt>
                <c:pt idx="28">
                  <c:v>Kongsberg/Numedal - 3</c:v>
                </c:pt>
                <c:pt idx="29">
                  <c:v>Oslo - 2</c:v>
                </c:pt>
                <c:pt idx="30">
                  <c:v>Akershus Vest - 1</c:v>
                </c:pt>
              </c:strCache>
            </c:strRef>
          </c:cat>
          <c:val>
            <c:numRef>
              <c:f>'Bransjejustert reg'!$E$2:$E$32</c:f>
              <c:numCache>
                <c:formatCode>0.0</c:formatCode>
                <c:ptCount val="31"/>
                <c:pt idx="0">
                  <c:v>-9.219686513659358</c:v>
                </c:pt>
                <c:pt idx="1">
                  <c:v>-7.8864367724209075</c:v>
                </c:pt>
                <c:pt idx="2">
                  <c:v>-7.7257203898267228</c:v>
                </c:pt>
                <c:pt idx="3">
                  <c:v>-7.3692743454428378</c:v>
                </c:pt>
                <c:pt idx="4">
                  <c:v>-7.1016311578215969</c:v>
                </c:pt>
                <c:pt idx="5">
                  <c:v>-6.7887445406844726</c:v>
                </c:pt>
                <c:pt idx="6">
                  <c:v>-6.1634301121050221</c:v>
                </c:pt>
                <c:pt idx="7">
                  <c:v>-6.1572649118370144</c:v>
                </c:pt>
                <c:pt idx="8">
                  <c:v>-5.5755587029998868</c:v>
                </c:pt>
                <c:pt idx="9">
                  <c:v>-5.3175805714782669</c:v>
                </c:pt>
                <c:pt idx="10">
                  <c:v>-5.2178592917306634</c:v>
                </c:pt>
                <c:pt idx="11">
                  <c:v>-5.1739427208316346</c:v>
                </c:pt>
                <c:pt idx="12">
                  <c:v>-4.8906001766089613</c:v>
                </c:pt>
                <c:pt idx="13">
                  <c:v>-4.7862807403586265</c:v>
                </c:pt>
                <c:pt idx="14">
                  <c:v>-4.7329859117894433</c:v>
                </c:pt>
                <c:pt idx="15">
                  <c:v>-4.3408710549739062</c:v>
                </c:pt>
                <c:pt idx="16">
                  <c:v>-4.0752580907716833</c:v>
                </c:pt>
                <c:pt idx="17">
                  <c:v>-3.9411640237740144</c:v>
                </c:pt>
                <c:pt idx="18">
                  <c:v>-3.9336551980469565</c:v>
                </c:pt>
                <c:pt idx="19">
                  <c:v>-3.9181912738659941</c:v>
                </c:pt>
                <c:pt idx="20">
                  <c:v>-3.666402515511801</c:v>
                </c:pt>
                <c:pt idx="21">
                  <c:v>-3.1251419975970052</c:v>
                </c:pt>
                <c:pt idx="22">
                  <c:v>-2.9774516666022488</c:v>
                </c:pt>
                <c:pt idx="23">
                  <c:v>-2.5193335927379557</c:v>
                </c:pt>
                <c:pt idx="24">
                  <c:v>-2.0396592339494029</c:v>
                </c:pt>
                <c:pt idx="25">
                  <c:v>-1.8489124510669339</c:v>
                </c:pt>
                <c:pt idx="26">
                  <c:v>-1.6233672698304922</c:v>
                </c:pt>
                <c:pt idx="27">
                  <c:v>-0.49623447284135835</c:v>
                </c:pt>
                <c:pt idx="28">
                  <c:v>9.9702210272666285</c:v>
                </c:pt>
                <c:pt idx="29">
                  <c:v>10.055978398883724</c:v>
                </c:pt>
                <c:pt idx="30">
                  <c:v>11.558129610221165</c:v>
                </c:pt>
              </c:numCache>
            </c:numRef>
          </c:val>
        </c:ser>
        <c:ser>
          <c:idx val="1"/>
          <c:order val="1"/>
          <c:tx>
            <c:strRef>
              <c:f>'Bransjejustert reg'!$F$1</c:f>
              <c:strCache>
                <c:ptCount val="1"/>
                <c:pt idx="0">
                  <c:v>Bransjeeffekt</c:v>
                </c:pt>
              </c:strCache>
            </c:strRef>
          </c:tx>
          <c:spPr>
            <a:solidFill>
              <a:srgbClr val="FFFFFF">
                <a:lumMod val="65000"/>
              </a:srgbClr>
            </a:solidFill>
            <a:ln>
              <a:noFill/>
            </a:ln>
            <a:effectLst/>
          </c:spPr>
          <c:dLbls>
            <c:dLbl>
              <c:idx val="0"/>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'Bransjejustert reg'!$D$2:$D$32</c:f>
              <c:strCache>
                <c:ptCount val="31"/>
                <c:pt idx="0">
                  <c:v>Glåmdal - 83</c:v>
                </c:pt>
                <c:pt idx="1">
                  <c:v>Nord-Gudbrandsdal - 80</c:v>
                </c:pt>
                <c:pt idx="2">
                  <c:v>Hadeland - 77</c:v>
                </c:pt>
                <c:pt idx="3">
                  <c:v>Indre Østfold - 75</c:v>
                </c:pt>
                <c:pt idx="4">
                  <c:v>Gjøvikregionen - 70</c:v>
                </c:pt>
                <c:pt idx="5">
                  <c:v>Øst-Telemark - 69</c:v>
                </c:pt>
                <c:pt idx="6">
                  <c:v>Midt-Gudbrandsdal - 64</c:v>
                </c:pt>
                <c:pt idx="7">
                  <c:v>Valdres - 63</c:v>
                </c:pt>
                <c:pt idx="8">
                  <c:v>Midt-Buskerud - 53</c:v>
                </c:pt>
                <c:pt idx="9">
                  <c:v>Halden - 49</c:v>
                </c:pt>
                <c:pt idx="10">
                  <c:v>Nedre Glomma - 48</c:v>
                </c:pt>
                <c:pt idx="11">
                  <c:v>Hallingdal - 46</c:v>
                </c:pt>
                <c:pt idx="12">
                  <c:v>Sør Østerdal - 43</c:v>
                </c:pt>
                <c:pt idx="13">
                  <c:v>Grenland - 42</c:v>
                </c:pt>
                <c:pt idx="14">
                  <c:v>Mosseregionen - 40</c:v>
                </c:pt>
                <c:pt idx="15">
                  <c:v>Fjellregionen - 36</c:v>
                </c:pt>
                <c:pt idx="16">
                  <c:v>Ringerike/Hole - 31</c:v>
                </c:pt>
                <c:pt idx="17">
                  <c:v>Drammensregionen - 29</c:v>
                </c:pt>
                <c:pt idx="18">
                  <c:v>Øvre Romerike - 28</c:v>
                </c:pt>
                <c:pt idx="19">
                  <c:v>Hamarregionen - 27</c:v>
                </c:pt>
                <c:pt idx="20">
                  <c:v>Nedre Romerike - 24</c:v>
                </c:pt>
                <c:pt idx="21">
                  <c:v>Midt-Telemark - 19</c:v>
                </c:pt>
                <c:pt idx="22">
                  <c:v>Vest-Telemark - 18</c:v>
                </c:pt>
                <c:pt idx="23">
                  <c:v>Sandefjord/Larvik - 15</c:v>
                </c:pt>
                <c:pt idx="24">
                  <c:v>Tønsbergregionen - 14</c:v>
                </c:pt>
                <c:pt idx="25">
                  <c:v>Vestviken - 13</c:v>
                </c:pt>
                <c:pt idx="26">
                  <c:v>Follo - 11</c:v>
                </c:pt>
                <c:pt idx="27">
                  <c:v>Lillehammerregionen - 7</c:v>
                </c:pt>
                <c:pt idx="28">
                  <c:v>Kongsberg/Numedal - 3</c:v>
                </c:pt>
                <c:pt idx="29">
                  <c:v>Oslo - 2</c:v>
                </c:pt>
                <c:pt idx="30">
                  <c:v>Akershus Vest - 1</c:v>
                </c:pt>
              </c:strCache>
            </c:strRef>
          </c:cat>
          <c:val>
            <c:numRef>
              <c:f>'Bransjejustert reg'!$F$2:$F$32</c:f>
              <c:numCache>
                <c:formatCode>0.0</c:formatCode>
                <c:ptCount val="31"/>
                <c:pt idx="0">
                  <c:v>-4.7038213352877811</c:v>
                </c:pt>
                <c:pt idx="1">
                  <c:v>-7.6252173860860868</c:v>
                </c:pt>
                <c:pt idx="2">
                  <c:v>-2.6333899630021236</c:v>
                </c:pt>
                <c:pt idx="3">
                  <c:v>-5.0684793119128599</c:v>
                </c:pt>
                <c:pt idx="4">
                  <c:v>-2.8618845441123399</c:v>
                </c:pt>
                <c:pt idx="5">
                  <c:v>-4.3983362561463277</c:v>
                </c:pt>
                <c:pt idx="6">
                  <c:v>-8.1328937808624282</c:v>
                </c:pt>
                <c:pt idx="7">
                  <c:v>-6.2550648990954674</c:v>
                </c:pt>
                <c:pt idx="8">
                  <c:v>-4.9778050501413844</c:v>
                </c:pt>
                <c:pt idx="9">
                  <c:v>-0.50878916412173658</c:v>
                </c:pt>
                <c:pt idx="10">
                  <c:v>-3.2202770195355619</c:v>
                </c:pt>
                <c:pt idx="11">
                  <c:v>-6.1032599379557784</c:v>
                </c:pt>
                <c:pt idx="12">
                  <c:v>-4.8612209087602274</c:v>
                </c:pt>
                <c:pt idx="13">
                  <c:v>-1.9703555642343575</c:v>
                </c:pt>
                <c:pt idx="14">
                  <c:v>-2.2569377230917782</c:v>
                </c:pt>
                <c:pt idx="15">
                  <c:v>-6.3692960181097291</c:v>
                </c:pt>
                <c:pt idx="16">
                  <c:v>-1.24048975413768</c:v>
                </c:pt>
                <c:pt idx="17">
                  <c:v>-2.3499710719941405</c:v>
                </c:pt>
                <c:pt idx="18">
                  <c:v>-5.3212720998875671</c:v>
                </c:pt>
                <c:pt idx="19">
                  <c:v>-2.3854654139235389</c:v>
                </c:pt>
                <c:pt idx="20">
                  <c:v>-3.4334881807313664</c:v>
                </c:pt>
                <c:pt idx="21">
                  <c:v>-4.9177569888913677</c:v>
                </c:pt>
                <c:pt idx="22">
                  <c:v>-5.586585866507594</c:v>
                </c:pt>
                <c:pt idx="23">
                  <c:v>-3.0392819236753037</c:v>
                </c:pt>
                <c:pt idx="24">
                  <c:v>-1.7854188015944104</c:v>
                </c:pt>
                <c:pt idx="25">
                  <c:v>-2.7285041310698936</c:v>
                </c:pt>
                <c:pt idx="26">
                  <c:v>-2.1097649514255292</c:v>
                </c:pt>
                <c:pt idx="27">
                  <c:v>-2.4130350170113672</c:v>
                </c:pt>
                <c:pt idx="28">
                  <c:v>-1.5545077805883807</c:v>
                </c:pt>
                <c:pt idx="29">
                  <c:v>5.4851866389079351</c:v>
                </c:pt>
                <c:pt idx="30">
                  <c:v>8.5139962863039287</c:v>
                </c:pt>
              </c:numCache>
            </c:numRef>
          </c:val>
        </c:ser>
        <c:gapWidth val="30"/>
        <c:overlap val="100"/>
        <c:axId val="258414848"/>
        <c:axId val="258445312"/>
      </c:barChart>
      <c:catAx>
        <c:axId val="258414848"/>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445312"/>
        <c:crosses val="autoZero"/>
        <c:auto val="1"/>
        <c:lblAlgn val="ctr"/>
        <c:lblOffset val="100"/>
      </c:catAx>
      <c:valAx>
        <c:axId val="258445312"/>
        <c:scaling>
          <c:orientation val="minMax"/>
          <c:max val="22"/>
          <c:min val="-20"/>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414848"/>
        <c:crosses val="autoZero"/>
        <c:crossBetween val="between"/>
      </c:valAx>
      <c:spPr>
        <a:noFill/>
        <a:ln>
          <a:noFill/>
        </a:ln>
        <a:effectLst/>
      </c:spPr>
    </c:plotArea>
    <c:legend>
      <c:legendPos val="r"/>
      <c:layout>
        <c:manualLayout>
          <c:xMode val="edge"/>
          <c:yMode val="edge"/>
          <c:x val="0.68771150946557236"/>
          <c:y val="0.71556957107335251"/>
          <c:w val="0.30958801205320963"/>
          <c:h val="0.12956148984666396"/>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532550234499401"/>
          <c:y val="7.7637576552930909E-2"/>
          <c:w val="0.63931930639817613"/>
          <c:h val="0.87996894138232706"/>
        </c:manualLayout>
      </c:layout>
      <c:barChart>
        <c:barDir val="bar"/>
        <c:grouping val="stacked"/>
        <c:ser>
          <c:idx val="0"/>
          <c:order val="0"/>
          <c:tx>
            <c:strRef>
              <c:f>'Bransjejustert kom'!$E$1</c:f>
              <c:strCache>
                <c:ptCount val="1"/>
                <c:pt idx="0">
                  <c:v>Bransjejustert</c:v>
                </c:pt>
              </c:strCache>
            </c:strRef>
          </c:tx>
          <c:spPr>
            <a:solidFill>
              <a:srgbClr val="C00000"/>
            </a:solidFill>
            <a:ln>
              <a:noFill/>
            </a:ln>
            <a:effectLst/>
          </c:spPr>
          <c:dLbls>
            <c:dLbl>
              <c:idx val="0"/>
              <c:showVal val="1"/>
              <c:extLst>
                <c:ext xmlns:c15="http://schemas.microsoft.com/office/drawing/2012/chart" uri="{CE6537A1-D6FC-4f65-9D91-7224C49458BB}"/>
              </c:extLst>
            </c:dLbl>
            <c:dLbl>
              <c:idx val="1"/>
              <c:showVal val="1"/>
              <c:extLst>
                <c:ext xmlns:c15="http://schemas.microsoft.com/office/drawing/2012/chart" uri="{CE6537A1-D6FC-4f65-9D91-7224C49458BB}"/>
              </c:extLst>
            </c:dLbl>
            <c:dLbl>
              <c:idx val="2"/>
              <c:showVal val="1"/>
              <c:extLst>
                <c:ext xmlns:c15="http://schemas.microsoft.com/office/drawing/2012/chart" uri="{CE6537A1-D6FC-4f65-9D91-7224C49458BB}"/>
              </c:extLst>
            </c:dLbl>
            <c:dLbl>
              <c:idx val="3"/>
              <c:showVal val="1"/>
              <c:extLst>
                <c:ext xmlns:c15="http://schemas.microsoft.com/office/drawing/2012/chart" uri="{CE6537A1-D6FC-4f65-9D91-7224C49458BB}"/>
              </c:extLst>
            </c:dLbl>
            <c:dLbl>
              <c:idx val="4"/>
              <c:showVal val="1"/>
              <c:extLst>
                <c:ext xmlns:c15="http://schemas.microsoft.com/office/drawing/2012/chart" uri="{CE6537A1-D6FC-4f65-9D91-7224C49458BB}"/>
              </c:extLst>
            </c:dLbl>
            <c:dLbl>
              <c:idx val="6"/>
              <c:showVal val="1"/>
              <c:extLst>
                <c:ext xmlns:c15="http://schemas.microsoft.com/office/drawing/2012/chart" uri="{CE6537A1-D6FC-4f65-9D91-7224C49458BB}"/>
              </c:extLst>
            </c:dLbl>
            <c:dLbl>
              <c:idx val="7"/>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'Bransjejustert kom'!$D$43:$D$64</c:f>
              <c:strCache>
                <c:ptCount val="22"/>
                <c:pt idx="0">
                  <c:v>Eidskog - 417</c:v>
                </c:pt>
                <c:pt idx="1">
                  <c:v>Kongsvinger - 405</c:v>
                </c:pt>
                <c:pt idx="2">
                  <c:v>Sør-Odal - 375</c:v>
                </c:pt>
                <c:pt idx="3">
                  <c:v>Grue - 373</c:v>
                </c:pt>
                <c:pt idx="4">
                  <c:v>Våler - 351</c:v>
                </c:pt>
                <c:pt idx="5">
                  <c:v>Trysil - 341</c:v>
                </c:pt>
                <c:pt idx="6">
                  <c:v>Åsnes - 301</c:v>
                </c:pt>
                <c:pt idx="7">
                  <c:v>Nord-Odal - 292</c:v>
                </c:pt>
                <c:pt idx="8">
                  <c:v>Ringsaker - 252</c:v>
                </c:pt>
                <c:pt idx="9">
                  <c:v>Alvdal - 186</c:v>
                </c:pt>
                <c:pt idx="10">
                  <c:v>Tynset - 145</c:v>
                </c:pt>
                <c:pt idx="11">
                  <c:v>Rendalen - 137</c:v>
                </c:pt>
                <c:pt idx="12">
                  <c:v>Løten - 134</c:v>
                </c:pt>
                <c:pt idx="13">
                  <c:v>Stor-Elvdal - 127</c:v>
                </c:pt>
                <c:pt idx="14">
                  <c:v>Engerdal - 124</c:v>
                </c:pt>
                <c:pt idx="15">
                  <c:v>Elverum - 121</c:v>
                </c:pt>
                <c:pt idx="16">
                  <c:v>Os - 114</c:v>
                </c:pt>
                <c:pt idx="17">
                  <c:v>Stange - 90</c:v>
                </c:pt>
                <c:pt idx="18">
                  <c:v>Åmot - 60</c:v>
                </c:pt>
                <c:pt idx="19">
                  <c:v>Tolga - 49</c:v>
                </c:pt>
                <c:pt idx="20">
                  <c:v>Hamar - 41</c:v>
                </c:pt>
                <c:pt idx="21">
                  <c:v>Folldal - 40</c:v>
                </c:pt>
              </c:strCache>
            </c:strRef>
          </c:cat>
          <c:val>
            <c:numRef>
              <c:f>'Bransjejustert kom'!$E$43:$E$64</c:f>
              <c:numCache>
                <c:formatCode>0.0</c:formatCode>
                <c:ptCount val="22"/>
                <c:pt idx="0">
                  <c:v>-10.985509168518446</c:v>
                </c:pt>
                <c:pt idx="1">
                  <c:v>-9.9802470949409763</c:v>
                </c:pt>
                <c:pt idx="2">
                  <c:v>-9.157783399491402</c:v>
                </c:pt>
                <c:pt idx="3">
                  <c:v>-9.0439751352766979</c:v>
                </c:pt>
                <c:pt idx="4">
                  <c:v>-8.5854545106759872</c:v>
                </c:pt>
                <c:pt idx="5">
                  <c:v>-8.3357150802497468</c:v>
                </c:pt>
                <c:pt idx="6">
                  <c:v>-7.4591673064016693</c:v>
                </c:pt>
                <c:pt idx="7">
                  <c:v>-7.3131243084676889</c:v>
                </c:pt>
                <c:pt idx="8">
                  <c:v>-6.5203639677361114</c:v>
                </c:pt>
                <c:pt idx="9">
                  <c:v>-5.3921533444229652</c:v>
                </c:pt>
                <c:pt idx="10">
                  <c:v>-4.9319187066716044</c:v>
                </c:pt>
                <c:pt idx="11">
                  <c:v>-4.7425488555918012</c:v>
                </c:pt>
                <c:pt idx="12">
                  <c:v>-4.6832876877133618</c:v>
                </c:pt>
                <c:pt idx="13">
                  <c:v>-4.4585994457935243</c:v>
                </c:pt>
                <c:pt idx="14">
                  <c:v>-4.4305884705905108</c:v>
                </c:pt>
                <c:pt idx="15">
                  <c:v>-4.2133731625486703</c:v>
                </c:pt>
                <c:pt idx="16">
                  <c:v>-3.9999908895416958</c:v>
                </c:pt>
                <c:pt idx="17">
                  <c:v>-3.4902862772928112</c:v>
                </c:pt>
                <c:pt idx="18">
                  <c:v>-2.6029747468427455</c:v>
                </c:pt>
                <c:pt idx="19">
                  <c:v>-2.0478374427640751</c:v>
                </c:pt>
                <c:pt idx="20">
                  <c:v>-1.7902224771433879</c:v>
                </c:pt>
                <c:pt idx="21">
                  <c:v>-1.5380988753625466</c:v>
                </c:pt>
              </c:numCache>
            </c:numRef>
          </c:val>
        </c:ser>
        <c:ser>
          <c:idx val="1"/>
          <c:order val="1"/>
          <c:tx>
            <c:strRef>
              <c:f>'Bransjejustert kom'!$F$1</c:f>
              <c:strCache>
                <c:ptCount val="1"/>
                <c:pt idx="0">
                  <c:v>Bransjeeffekt</c:v>
                </c:pt>
              </c:strCache>
            </c:strRef>
          </c:tx>
          <c:spPr>
            <a:solidFill>
              <a:schemeClr val="bg1">
                <a:lumMod val="50000"/>
              </a:schemeClr>
            </a:solidFill>
            <a:ln>
              <a:noFill/>
            </a:ln>
            <a:effectLst/>
          </c:spPr>
          <c:dLbls>
            <c:dLbl>
              <c:idx val="0"/>
              <c:showVal val="1"/>
              <c:extLst>
                <c:ext xmlns:c15="http://schemas.microsoft.com/office/drawing/2012/chart" uri="{CE6537A1-D6FC-4f65-9D91-7224C49458BB}"/>
              </c:extLst>
            </c:dLbl>
            <c:dLbl>
              <c:idx val="1"/>
              <c:showVal val="1"/>
              <c:extLst>
                <c:ext xmlns:c15="http://schemas.microsoft.com/office/drawing/2012/chart" uri="{CE6537A1-D6FC-4f65-9D91-7224C49458BB}"/>
              </c:extLst>
            </c:dLbl>
            <c:dLbl>
              <c:idx val="2"/>
              <c:showVal val="1"/>
              <c:extLst>
                <c:ext xmlns:c15="http://schemas.microsoft.com/office/drawing/2012/chart" uri="{CE6537A1-D6FC-4f65-9D91-7224C49458BB}"/>
              </c:extLst>
            </c:dLbl>
            <c:dLbl>
              <c:idx val="3"/>
              <c:showVal val="1"/>
              <c:extLst>
                <c:ext xmlns:c15="http://schemas.microsoft.com/office/drawing/2012/chart" uri="{CE6537A1-D6FC-4f65-9D91-7224C49458BB}"/>
              </c:extLst>
            </c:dLbl>
            <c:dLbl>
              <c:idx val="4"/>
              <c:showVal val="1"/>
              <c:extLst>
                <c:ext xmlns:c15="http://schemas.microsoft.com/office/drawing/2012/chart" uri="{CE6537A1-D6FC-4f65-9D91-7224C49458BB}"/>
              </c:extLst>
            </c:dLbl>
            <c:dLbl>
              <c:idx val="6"/>
              <c:showVal val="1"/>
              <c:extLst>
                <c:ext xmlns:c15="http://schemas.microsoft.com/office/drawing/2012/chart" uri="{CE6537A1-D6FC-4f65-9D91-7224C49458BB}"/>
              </c:extLst>
            </c:dLbl>
            <c:dLbl>
              <c:idx val="7"/>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'Bransjejustert kom'!$D$43:$D$64</c:f>
              <c:strCache>
                <c:ptCount val="22"/>
                <c:pt idx="0">
                  <c:v>Eidskog - 417</c:v>
                </c:pt>
                <c:pt idx="1">
                  <c:v>Kongsvinger - 405</c:v>
                </c:pt>
                <c:pt idx="2">
                  <c:v>Sør-Odal - 375</c:v>
                </c:pt>
                <c:pt idx="3">
                  <c:v>Grue - 373</c:v>
                </c:pt>
                <c:pt idx="4">
                  <c:v>Våler - 351</c:v>
                </c:pt>
                <c:pt idx="5">
                  <c:v>Trysil - 341</c:v>
                </c:pt>
                <c:pt idx="6">
                  <c:v>Åsnes - 301</c:v>
                </c:pt>
                <c:pt idx="7">
                  <c:v>Nord-Odal - 292</c:v>
                </c:pt>
                <c:pt idx="8">
                  <c:v>Ringsaker - 252</c:v>
                </c:pt>
                <c:pt idx="9">
                  <c:v>Alvdal - 186</c:v>
                </c:pt>
                <c:pt idx="10">
                  <c:v>Tynset - 145</c:v>
                </c:pt>
                <c:pt idx="11">
                  <c:v>Rendalen - 137</c:v>
                </c:pt>
                <c:pt idx="12">
                  <c:v>Løten - 134</c:v>
                </c:pt>
                <c:pt idx="13">
                  <c:v>Stor-Elvdal - 127</c:v>
                </c:pt>
                <c:pt idx="14">
                  <c:v>Engerdal - 124</c:v>
                </c:pt>
                <c:pt idx="15">
                  <c:v>Elverum - 121</c:v>
                </c:pt>
                <c:pt idx="16">
                  <c:v>Os - 114</c:v>
                </c:pt>
                <c:pt idx="17">
                  <c:v>Stange - 90</c:v>
                </c:pt>
                <c:pt idx="18">
                  <c:v>Åmot - 60</c:v>
                </c:pt>
                <c:pt idx="19">
                  <c:v>Tolga - 49</c:v>
                </c:pt>
                <c:pt idx="20">
                  <c:v>Hamar - 41</c:v>
                </c:pt>
                <c:pt idx="21">
                  <c:v>Folldal - 40</c:v>
                </c:pt>
              </c:strCache>
            </c:strRef>
          </c:cat>
          <c:val>
            <c:numRef>
              <c:f>'Bransjejustert kom'!$F$43:$F$64</c:f>
              <c:numCache>
                <c:formatCode>0.0</c:formatCode>
                <c:ptCount val="22"/>
                <c:pt idx="0">
                  <c:v>-6.4585183497273899</c:v>
                </c:pt>
                <c:pt idx="1">
                  <c:v>-3.0158474039432628</c:v>
                </c:pt>
                <c:pt idx="2">
                  <c:v>-6.1750565231143781</c:v>
                </c:pt>
                <c:pt idx="3">
                  <c:v>-4.013267418335051</c:v>
                </c:pt>
                <c:pt idx="4">
                  <c:v>-5.3220301853127454</c:v>
                </c:pt>
                <c:pt idx="5">
                  <c:v>-6.1607822113305186</c:v>
                </c:pt>
                <c:pt idx="6">
                  <c:v>-5.3532040681963657</c:v>
                </c:pt>
                <c:pt idx="7">
                  <c:v>-7.8447646379252802</c:v>
                </c:pt>
                <c:pt idx="8">
                  <c:v>-4.6851692320888958</c:v>
                </c:pt>
                <c:pt idx="9">
                  <c:v>-9.9135746852929643</c:v>
                </c:pt>
                <c:pt idx="10">
                  <c:v>-5.3764874904390272</c:v>
                </c:pt>
                <c:pt idx="11">
                  <c:v>-7.4932415216437835</c:v>
                </c:pt>
                <c:pt idx="12">
                  <c:v>-4.9105194657149873</c:v>
                </c:pt>
                <c:pt idx="13">
                  <c:v>-7.3711329858757768</c:v>
                </c:pt>
                <c:pt idx="14">
                  <c:v>-8.0329697814717651</c:v>
                </c:pt>
                <c:pt idx="15">
                  <c:v>-3.8070369939201489</c:v>
                </c:pt>
                <c:pt idx="16">
                  <c:v>-5.0151159659050393</c:v>
                </c:pt>
                <c:pt idx="17">
                  <c:v>-4.5934477342209954</c:v>
                </c:pt>
                <c:pt idx="18">
                  <c:v>-6.4774920675205898</c:v>
                </c:pt>
                <c:pt idx="19">
                  <c:v>-3.1116570695909007</c:v>
                </c:pt>
                <c:pt idx="20">
                  <c:v>0.42119372602422089</c:v>
                </c:pt>
                <c:pt idx="21">
                  <c:v>-7.2002641621428207</c:v>
                </c:pt>
              </c:numCache>
            </c:numRef>
          </c:val>
        </c:ser>
        <c:gapWidth val="30"/>
        <c:overlap val="100"/>
        <c:axId val="258500096"/>
        <c:axId val="258501632"/>
      </c:barChart>
      <c:catAx>
        <c:axId val="258500096"/>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501632"/>
        <c:crosses val="autoZero"/>
        <c:auto val="1"/>
        <c:lblAlgn val="ctr"/>
        <c:lblOffset val="100"/>
      </c:catAx>
      <c:valAx>
        <c:axId val="25850163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50009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nb-NO"/>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66019569367414"/>
          <c:y val="3.2588487180021442E-2"/>
          <c:w val="0.45223779494272159"/>
          <c:h val="0.9321617333315656"/>
        </c:manualLayout>
      </c:layout>
      <c:barChart>
        <c:barDir val="bar"/>
        <c:grouping val="stacked"/>
        <c:ser>
          <c:idx val="0"/>
          <c:order val="0"/>
          <c:tx>
            <c:strRef>
              <c:f>Innovasjonsgrad!$D$1</c:f>
              <c:strCache>
                <c:ptCount val="1"/>
                <c:pt idx="0">
                  <c:v>Produkt</c:v>
                </c:pt>
              </c:strCache>
            </c:strRef>
          </c:tx>
          <c:spPr>
            <a:solidFill>
              <a:schemeClr val="accent1">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Innovasjonsgrad!$B$2:$C$32</c:f>
              <c:multiLvlStrCache>
                <c:ptCount val="31"/>
                <c:lvl>
                  <c:pt idx="0">
                    <c:v>Valdres</c:v>
                  </c:pt>
                  <c:pt idx="1">
                    <c:v>Midt-Gudbrandsdal</c:v>
                  </c:pt>
                  <c:pt idx="2">
                    <c:v>Øst-Telemark</c:v>
                  </c:pt>
                  <c:pt idx="3">
                    <c:v>Sør Østerdal</c:v>
                  </c:pt>
                  <c:pt idx="4">
                    <c:v>Nord-Gudbrandsdal</c:v>
                  </c:pt>
                  <c:pt idx="5">
                    <c:v>Glåmdal</c:v>
                  </c:pt>
                  <c:pt idx="6">
                    <c:v>Øvre Romerike</c:v>
                  </c:pt>
                  <c:pt idx="7">
                    <c:v>Hadeland</c:v>
                  </c:pt>
                  <c:pt idx="8">
                    <c:v>Hallingdal</c:v>
                  </c:pt>
                  <c:pt idx="9">
                    <c:v>Sandefjord/Larvik</c:v>
                  </c:pt>
                  <c:pt idx="10">
                    <c:v>Drammensregionen</c:v>
                  </c:pt>
                  <c:pt idx="11">
                    <c:v>Hamarregionen</c:v>
                  </c:pt>
                  <c:pt idx="12">
                    <c:v>Nedre Glomma</c:v>
                  </c:pt>
                  <c:pt idx="13">
                    <c:v>Indre Østfold</c:v>
                  </c:pt>
                  <c:pt idx="14">
                    <c:v>Halden</c:v>
                  </c:pt>
                  <c:pt idx="15">
                    <c:v>Mosseregionen</c:v>
                  </c:pt>
                  <c:pt idx="16">
                    <c:v>Lillehammerregionen</c:v>
                  </c:pt>
                  <c:pt idx="17">
                    <c:v>Follo</c:v>
                  </c:pt>
                  <c:pt idx="18">
                    <c:v>Nedre Romerike</c:v>
                  </c:pt>
                  <c:pt idx="19">
                    <c:v>Midt-Buskerud</c:v>
                  </c:pt>
                  <c:pt idx="20">
                    <c:v>Grenland</c:v>
                  </c:pt>
                  <c:pt idx="21">
                    <c:v>Vest-Telemark</c:v>
                  </c:pt>
                  <c:pt idx="22">
                    <c:v>Oslo</c:v>
                  </c:pt>
                  <c:pt idx="23">
                    <c:v>Kongsberg/Numedal</c:v>
                  </c:pt>
                  <c:pt idx="24">
                    <c:v>Ringerike/Hole</c:v>
                  </c:pt>
                  <c:pt idx="25">
                    <c:v>Tønsbergregionen</c:v>
                  </c:pt>
                  <c:pt idx="26">
                    <c:v>Vestviken</c:v>
                  </c:pt>
                  <c:pt idx="27">
                    <c:v>Midt-Telemark</c:v>
                  </c:pt>
                  <c:pt idx="28">
                    <c:v>Fjellregionen</c:v>
                  </c:pt>
                  <c:pt idx="29">
                    <c:v>Gjøvikregionen</c:v>
                  </c:pt>
                  <c:pt idx="30">
                    <c:v>Akershus Vest</c:v>
                  </c:pt>
                </c:lvl>
                <c:lvl>
                  <c:pt idx="0">
                    <c:v>81</c:v>
                  </c:pt>
                  <c:pt idx="1">
                    <c:v>77</c:v>
                  </c:pt>
                  <c:pt idx="2">
                    <c:v>75</c:v>
                  </c:pt>
                  <c:pt idx="3">
                    <c:v>71</c:v>
                  </c:pt>
                  <c:pt idx="4">
                    <c:v>69</c:v>
                  </c:pt>
                  <c:pt idx="5">
                    <c:v>68</c:v>
                  </c:pt>
                  <c:pt idx="6">
                    <c:v>65</c:v>
                  </c:pt>
                  <c:pt idx="7">
                    <c:v>63</c:v>
                  </c:pt>
                  <c:pt idx="8">
                    <c:v>59</c:v>
                  </c:pt>
                  <c:pt idx="9">
                    <c:v>51</c:v>
                  </c:pt>
                  <c:pt idx="10">
                    <c:v>50</c:v>
                  </c:pt>
                  <c:pt idx="11">
                    <c:v>49</c:v>
                  </c:pt>
                  <c:pt idx="12">
                    <c:v>48</c:v>
                  </c:pt>
                  <c:pt idx="13">
                    <c:v>46</c:v>
                  </c:pt>
                  <c:pt idx="14">
                    <c:v>44</c:v>
                  </c:pt>
                  <c:pt idx="15">
                    <c:v>43</c:v>
                  </c:pt>
                  <c:pt idx="16">
                    <c:v>39</c:v>
                  </c:pt>
                  <c:pt idx="17">
                    <c:v>38</c:v>
                  </c:pt>
                  <c:pt idx="18">
                    <c:v>35</c:v>
                  </c:pt>
                  <c:pt idx="19">
                    <c:v>30</c:v>
                  </c:pt>
                  <c:pt idx="20">
                    <c:v>29</c:v>
                  </c:pt>
                  <c:pt idx="21">
                    <c:v>26</c:v>
                  </c:pt>
                  <c:pt idx="22">
                    <c:v>22</c:v>
                  </c:pt>
                  <c:pt idx="23">
                    <c:v>19</c:v>
                  </c:pt>
                  <c:pt idx="24">
                    <c:v>18</c:v>
                  </c:pt>
                  <c:pt idx="25">
                    <c:v>16</c:v>
                  </c:pt>
                  <c:pt idx="26">
                    <c:v>13</c:v>
                  </c:pt>
                  <c:pt idx="27">
                    <c:v>9</c:v>
                  </c:pt>
                  <c:pt idx="28">
                    <c:v>8</c:v>
                  </c:pt>
                  <c:pt idx="29">
                    <c:v>7</c:v>
                  </c:pt>
                  <c:pt idx="30">
                    <c:v>3</c:v>
                  </c:pt>
                </c:lvl>
              </c:multiLvlStrCache>
            </c:multiLvlStrRef>
          </c:cat>
          <c:val>
            <c:numRef>
              <c:f>Innovasjonsgrad!$D$2:$D$32</c:f>
              <c:numCache>
                <c:formatCode>0</c:formatCode>
                <c:ptCount val="31"/>
                <c:pt idx="0">
                  <c:v>46.769230769230781</c:v>
                </c:pt>
                <c:pt idx="1">
                  <c:v>71.25</c:v>
                </c:pt>
                <c:pt idx="2">
                  <c:v>78.637770897832766</c:v>
                </c:pt>
                <c:pt idx="3">
                  <c:v>77.069597069597066</c:v>
                </c:pt>
                <c:pt idx="4">
                  <c:v>43.80952380952381</c:v>
                </c:pt>
                <c:pt idx="5">
                  <c:v>72.476773439511888</c:v>
                </c:pt>
                <c:pt idx="6">
                  <c:v>122.05562836755493</c:v>
                </c:pt>
                <c:pt idx="7">
                  <c:v>163.93650793650795</c:v>
                </c:pt>
                <c:pt idx="8">
                  <c:v>78.095238095238102</c:v>
                </c:pt>
                <c:pt idx="9">
                  <c:v>137.73450331176883</c:v>
                </c:pt>
                <c:pt idx="10">
                  <c:v>143.36436939615209</c:v>
                </c:pt>
                <c:pt idx="11">
                  <c:v>103.60932017419613</c:v>
                </c:pt>
                <c:pt idx="12">
                  <c:v>141.2059823036567</c:v>
                </c:pt>
                <c:pt idx="13">
                  <c:v>106.80851063829786</c:v>
                </c:pt>
                <c:pt idx="14">
                  <c:v>109.6192135390742</c:v>
                </c:pt>
                <c:pt idx="15">
                  <c:v>155.66825457249283</c:v>
                </c:pt>
                <c:pt idx="16">
                  <c:v>109.5080936665095</c:v>
                </c:pt>
                <c:pt idx="17">
                  <c:v>147.36435997400909</c:v>
                </c:pt>
                <c:pt idx="18">
                  <c:v>157.8294519470991</c:v>
                </c:pt>
                <c:pt idx="19">
                  <c:v>132.94346978557505</c:v>
                </c:pt>
                <c:pt idx="20">
                  <c:v>184.72469914201059</c:v>
                </c:pt>
                <c:pt idx="21">
                  <c:v>187.06896551724137</c:v>
                </c:pt>
                <c:pt idx="22">
                  <c:v>197.07733587000348</c:v>
                </c:pt>
                <c:pt idx="23">
                  <c:v>257.58945386064033</c:v>
                </c:pt>
                <c:pt idx="24">
                  <c:v>213.26530612244898</c:v>
                </c:pt>
                <c:pt idx="25">
                  <c:v>205.37485582468273</c:v>
                </c:pt>
                <c:pt idx="26">
                  <c:v>248.82855706385115</c:v>
                </c:pt>
                <c:pt idx="27">
                  <c:v>230.66666666666663</c:v>
                </c:pt>
                <c:pt idx="28">
                  <c:v>120</c:v>
                </c:pt>
                <c:pt idx="29">
                  <c:v>236.68564199873501</c:v>
                </c:pt>
                <c:pt idx="30">
                  <c:v>254.66306910612795</c:v>
                </c:pt>
              </c:numCache>
            </c:numRef>
          </c:val>
        </c:ser>
        <c:ser>
          <c:idx val="1"/>
          <c:order val="1"/>
          <c:tx>
            <c:strRef>
              <c:f>Innovasjonsgrad!$E$1</c:f>
              <c:strCache>
                <c:ptCount val="1"/>
                <c:pt idx="0">
                  <c:v>Prosess</c:v>
                </c:pt>
              </c:strCache>
            </c:strRef>
          </c:tx>
          <c:spPr>
            <a:solidFill>
              <a:schemeClr val="accent2">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Innovasjonsgrad!$B$2:$C$32</c:f>
              <c:multiLvlStrCache>
                <c:ptCount val="31"/>
                <c:lvl>
                  <c:pt idx="0">
                    <c:v>Valdres</c:v>
                  </c:pt>
                  <c:pt idx="1">
                    <c:v>Midt-Gudbrandsdal</c:v>
                  </c:pt>
                  <c:pt idx="2">
                    <c:v>Øst-Telemark</c:v>
                  </c:pt>
                  <c:pt idx="3">
                    <c:v>Sør Østerdal</c:v>
                  </c:pt>
                  <c:pt idx="4">
                    <c:v>Nord-Gudbrandsdal</c:v>
                  </c:pt>
                  <c:pt idx="5">
                    <c:v>Glåmdal</c:v>
                  </c:pt>
                  <c:pt idx="6">
                    <c:v>Øvre Romerike</c:v>
                  </c:pt>
                  <c:pt idx="7">
                    <c:v>Hadeland</c:v>
                  </c:pt>
                  <c:pt idx="8">
                    <c:v>Hallingdal</c:v>
                  </c:pt>
                  <c:pt idx="9">
                    <c:v>Sandefjord/Larvik</c:v>
                  </c:pt>
                  <c:pt idx="10">
                    <c:v>Drammensregionen</c:v>
                  </c:pt>
                  <c:pt idx="11">
                    <c:v>Hamarregionen</c:v>
                  </c:pt>
                  <c:pt idx="12">
                    <c:v>Nedre Glomma</c:v>
                  </c:pt>
                  <c:pt idx="13">
                    <c:v>Indre Østfold</c:v>
                  </c:pt>
                  <c:pt idx="14">
                    <c:v>Halden</c:v>
                  </c:pt>
                  <c:pt idx="15">
                    <c:v>Mosseregionen</c:v>
                  </c:pt>
                  <c:pt idx="16">
                    <c:v>Lillehammerregionen</c:v>
                  </c:pt>
                  <c:pt idx="17">
                    <c:v>Follo</c:v>
                  </c:pt>
                  <c:pt idx="18">
                    <c:v>Nedre Romerike</c:v>
                  </c:pt>
                  <c:pt idx="19">
                    <c:v>Midt-Buskerud</c:v>
                  </c:pt>
                  <c:pt idx="20">
                    <c:v>Grenland</c:v>
                  </c:pt>
                  <c:pt idx="21">
                    <c:v>Vest-Telemark</c:v>
                  </c:pt>
                  <c:pt idx="22">
                    <c:v>Oslo</c:v>
                  </c:pt>
                  <c:pt idx="23">
                    <c:v>Kongsberg/Numedal</c:v>
                  </c:pt>
                  <c:pt idx="24">
                    <c:v>Ringerike/Hole</c:v>
                  </c:pt>
                  <c:pt idx="25">
                    <c:v>Tønsbergregionen</c:v>
                  </c:pt>
                  <c:pt idx="26">
                    <c:v>Vestviken</c:v>
                  </c:pt>
                  <c:pt idx="27">
                    <c:v>Midt-Telemark</c:v>
                  </c:pt>
                  <c:pt idx="28">
                    <c:v>Fjellregionen</c:v>
                  </c:pt>
                  <c:pt idx="29">
                    <c:v>Gjøvikregionen</c:v>
                  </c:pt>
                  <c:pt idx="30">
                    <c:v>Akershus Vest</c:v>
                  </c:pt>
                </c:lvl>
                <c:lvl>
                  <c:pt idx="0">
                    <c:v>81</c:v>
                  </c:pt>
                  <c:pt idx="1">
                    <c:v>77</c:v>
                  </c:pt>
                  <c:pt idx="2">
                    <c:v>75</c:v>
                  </c:pt>
                  <c:pt idx="3">
                    <c:v>71</c:v>
                  </c:pt>
                  <c:pt idx="4">
                    <c:v>69</c:v>
                  </c:pt>
                  <c:pt idx="5">
                    <c:v>68</c:v>
                  </c:pt>
                  <c:pt idx="6">
                    <c:v>65</c:v>
                  </c:pt>
                  <c:pt idx="7">
                    <c:v>63</c:v>
                  </c:pt>
                  <c:pt idx="8">
                    <c:v>59</c:v>
                  </c:pt>
                  <c:pt idx="9">
                    <c:v>51</c:v>
                  </c:pt>
                  <c:pt idx="10">
                    <c:v>50</c:v>
                  </c:pt>
                  <c:pt idx="11">
                    <c:v>49</c:v>
                  </c:pt>
                  <c:pt idx="12">
                    <c:v>48</c:v>
                  </c:pt>
                  <c:pt idx="13">
                    <c:v>46</c:v>
                  </c:pt>
                  <c:pt idx="14">
                    <c:v>44</c:v>
                  </c:pt>
                  <c:pt idx="15">
                    <c:v>43</c:v>
                  </c:pt>
                  <c:pt idx="16">
                    <c:v>39</c:v>
                  </c:pt>
                  <c:pt idx="17">
                    <c:v>38</c:v>
                  </c:pt>
                  <c:pt idx="18">
                    <c:v>35</c:v>
                  </c:pt>
                  <c:pt idx="19">
                    <c:v>30</c:v>
                  </c:pt>
                  <c:pt idx="20">
                    <c:v>29</c:v>
                  </c:pt>
                  <c:pt idx="21">
                    <c:v>26</c:v>
                  </c:pt>
                  <c:pt idx="22">
                    <c:v>22</c:v>
                  </c:pt>
                  <c:pt idx="23">
                    <c:v>19</c:v>
                  </c:pt>
                  <c:pt idx="24">
                    <c:v>18</c:v>
                  </c:pt>
                  <c:pt idx="25">
                    <c:v>16</c:v>
                  </c:pt>
                  <c:pt idx="26">
                    <c:v>13</c:v>
                  </c:pt>
                  <c:pt idx="27">
                    <c:v>9</c:v>
                  </c:pt>
                  <c:pt idx="28">
                    <c:v>8</c:v>
                  </c:pt>
                  <c:pt idx="29">
                    <c:v>7</c:v>
                  </c:pt>
                  <c:pt idx="30">
                    <c:v>3</c:v>
                  </c:pt>
                </c:lvl>
              </c:multiLvlStrCache>
            </c:multiLvlStrRef>
          </c:cat>
          <c:val>
            <c:numRef>
              <c:f>Innovasjonsgrad!$E$2:$E$32</c:f>
              <c:numCache>
                <c:formatCode>0</c:formatCode>
                <c:ptCount val="31"/>
                <c:pt idx="0">
                  <c:v>16</c:v>
                </c:pt>
                <c:pt idx="1">
                  <c:v>29.375</c:v>
                </c:pt>
                <c:pt idx="2">
                  <c:v>38.235294117647044</c:v>
                </c:pt>
                <c:pt idx="3">
                  <c:v>67.179487179487126</c:v>
                </c:pt>
                <c:pt idx="4">
                  <c:v>109.52380952380949</c:v>
                </c:pt>
                <c:pt idx="5">
                  <c:v>52.034428794992174</c:v>
                </c:pt>
                <c:pt idx="6">
                  <c:v>43.027522935779842</c:v>
                </c:pt>
                <c:pt idx="7">
                  <c:v>20</c:v>
                </c:pt>
                <c:pt idx="8">
                  <c:v>42.85714285714284</c:v>
                </c:pt>
                <c:pt idx="9">
                  <c:v>70.718410967776762</c:v>
                </c:pt>
                <c:pt idx="10">
                  <c:v>65.455599574838146</c:v>
                </c:pt>
                <c:pt idx="11">
                  <c:v>98.235879926020758</c:v>
                </c:pt>
                <c:pt idx="12">
                  <c:v>70.8</c:v>
                </c:pt>
                <c:pt idx="13">
                  <c:v>79.130162703379213</c:v>
                </c:pt>
                <c:pt idx="14">
                  <c:v>118.59756097560978</c:v>
                </c:pt>
                <c:pt idx="15">
                  <c:v>65.109771846749823</c:v>
                </c:pt>
                <c:pt idx="16">
                  <c:v>128.57142857142861</c:v>
                </c:pt>
                <c:pt idx="17">
                  <c:v>94.290123456790127</c:v>
                </c:pt>
                <c:pt idx="18">
                  <c:v>102.65029088558501</c:v>
                </c:pt>
                <c:pt idx="19">
                  <c:v>147.17348927875236</c:v>
                </c:pt>
                <c:pt idx="20">
                  <c:v>93.901628447989367</c:v>
                </c:pt>
                <c:pt idx="21">
                  <c:v>84.267241379310391</c:v>
                </c:pt>
                <c:pt idx="22">
                  <c:v>85.794251720435796</c:v>
                </c:pt>
                <c:pt idx="23">
                  <c:v>85.932203389830548</c:v>
                </c:pt>
                <c:pt idx="24">
                  <c:v>102.04081632653059</c:v>
                </c:pt>
                <c:pt idx="25">
                  <c:v>93.455882352941117</c:v>
                </c:pt>
                <c:pt idx="26">
                  <c:v>77.53812636165577</c:v>
                </c:pt>
                <c:pt idx="27">
                  <c:v>161.90476190476187</c:v>
                </c:pt>
                <c:pt idx="28">
                  <c:v>185.29411764705878</c:v>
                </c:pt>
                <c:pt idx="29">
                  <c:v>129.70430107526877</c:v>
                </c:pt>
                <c:pt idx="30">
                  <c:v>123.9788428324697</c:v>
                </c:pt>
              </c:numCache>
            </c:numRef>
          </c:val>
        </c:ser>
        <c:ser>
          <c:idx val="2"/>
          <c:order val="2"/>
          <c:tx>
            <c:strRef>
              <c:f>Innovasjonsgrad!$F$1</c:f>
              <c:strCache>
                <c:ptCount val="1"/>
                <c:pt idx="0">
                  <c:v>Marked</c:v>
                </c:pt>
              </c:strCache>
            </c:strRef>
          </c:tx>
          <c:spPr>
            <a:solidFill>
              <a:schemeClr val="accent6">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Innovasjonsgrad!$B$2:$C$32</c:f>
              <c:multiLvlStrCache>
                <c:ptCount val="31"/>
                <c:lvl>
                  <c:pt idx="0">
                    <c:v>Valdres</c:v>
                  </c:pt>
                  <c:pt idx="1">
                    <c:v>Midt-Gudbrandsdal</c:v>
                  </c:pt>
                  <c:pt idx="2">
                    <c:v>Øst-Telemark</c:v>
                  </c:pt>
                  <c:pt idx="3">
                    <c:v>Sør Østerdal</c:v>
                  </c:pt>
                  <c:pt idx="4">
                    <c:v>Nord-Gudbrandsdal</c:v>
                  </c:pt>
                  <c:pt idx="5">
                    <c:v>Glåmdal</c:v>
                  </c:pt>
                  <c:pt idx="6">
                    <c:v>Øvre Romerike</c:v>
                  </c:pt>
                  <c:pt idx="7">
                    <c:v>Hadeland</c:v>
                  </c:pt>
                  <c:pt idx="8">
                    <c:v>Hallingdal</c:v>
                  </c:pt>
                  <c:pt idx="9">
                    <c:v>Sandefjord/Larvik</c:v>
                  </c:pt>
                  <c:pt idx="10">
                    <c:v>Drammensregionen</c:v>
                  </c:pt>
                  <c:pt idx="11">
                    <c:v>Hamarregionen</c:v>
                  </c:pt>
                  <c:pt idx="12">
                    <c:v>Nedre Glomma</c:v>
                  </c:pt>
                  <c:pt idx="13">
                    <c:v>Indre Østfold</c:v>
                  </c:pt>
                  <c:pt idx="14">
                    <c:v>Halden</c:v>
                  </c:pt>
                  <c:pt idx="15">
                    <c:v>Mosseregionen</c:v>
                  </c:pt>
                  <c:pt idx="16">
                    <c:v>Lillehammerregionen</c:v>
                  </c:pt>
                  <c:pt idx="17">
                    <c:v>Follo</c:v>
                  </c:pt>
                  <c:pt idx="18">
                    <c:v>Nedre Romerike</c:v>
                  </c:pt>
                  <c:pt idx="19">
                    <c:v>Midt-Buskerud</c:v>
                  </c:pt>
                  <c:pt idx="20">
                    <c:v>Grenland</c:v>
                  </c:pt>
                  <c:pt idx="21">
                    <c:v>Vest-Telemark</c:v>
                  </c:pt>
                  <c:pt idx="22">
                    <c:v>Oslo</c:v>
                  </c:pt>
                  <c:pt idx="23">
                    <c:v>Kongsberg/Numedal</c:v>
                  </c:pt>
                  <c:pt idx="24">
                    <c:v>Ringerike/Hole</c:v>
                  </c:pt>
                  <c:pt idx="25">
                    <c:v>Tønsbergregionen</c:v>
                  </c:pt>
                  <c:pt idx="26">
                    <c:v>Vestviken</c:v>
                  </c:pt>
                  <c:pt idx="27">
                    <c:v>Midt-Telemark</c:v>
                  </c:pt>
                  <c:pt idx="28">
                    <c:v>Fjellregionen</c:v>
                  </c:pt>
                  <c:pt idx="29">
                    <c:v>Gjøvikregionen</c:v>
                  </c:pt>
                  <c:pt idx="30">
                    <c:v>Akershus Vest</c:v>
                  </c:pt>
                </c:lvl>
                <c:lvl>
                  <c:pt idx="0">
                    <c:v>81</c:v>
                  </c:pt>
                  <c:pt idx="1">
                    <c:v>77</c:v>
                  </c:pt>
                  <c:pt idx="2">
                    <c:v>75</c:v>
                  </c:pt>
                  <c:pt idx="3">
                    <c:v>71</c:v>
                  </c:pt>
                  <c:pt idx="4">
                    <c:v>69</c:v>
                  </c:pt>
                  <c:pt idx="5">
                    <c:v>68</c:v>
                  </c:pt>
                  <c:pt idx="6">
                    <c:v>65</c:v>
                  </c:pt>
                  <c:pt idx="7">
                    <c:v>63</c:v>
                  </c:pt>
                  <c:pt idx="8">
                    <c:v>59</c:v>
                  </c:pt>
                  <c:pt idx="9">
                    <c:v>51</c:v>
                  </c:pt>
                  <c:pt idx="10">
                    <c:v>50</c:v>
                  </c:pt>
                  <c:pt idx="11">
                    <c:v>49</c:v>
                  </c:pt>
                  <c:pt idx="12">
                    <c:v>48</c:v>
                  </c:pt>
                  <c:pt idx="13">
                    <c:v>46</c:v>
                  </c:pt>
                  <c:pt idx="14">
                    <c:v>44</c:v>
                  </c:pt>
                  <c:pt idx="15">
                    <c:v>43</c:v>
                  </c:pt>
                  <c:pt idx="16">
                    <c:v>39</c:v>
                  </c:pt>
                  <c:pt idx="17">
                    <c:v>38</c:v>
                  </c:pt>
                  <c:pt idx="18">
                    <c:v>35</c:v>
                  </c:pt>
                  <c:pt idx="19">
                    <c:v>30</c:v>
                  </c:pt>
                  <c:pt idx="20">
                    <c:v>29</c:v>
                  </c:pt>
                  <c:pt idx="21">
                    <c:v>26</c:v>
                  </c:pt>
                  <c:pt idx="22">
                    <c:v>22</c:v>
                  </c:pt>
                  <c:pt idx="23">
                    <c:v>19</c:v>
                  </c:pt>
                  <c:pt idx="24">
                    <c:v>18</c:v>
                  </c:pt>
                  <c:pt idx="25">
                    <c:v>16</c:v>
                  </c:pt>
                  <c:pt idx="26">
                    <c:v>13</c:v>
                  </c:pt>
                  <c:pt idx="27">
                    <c:v>9</c:v>
                  </c:pt>
                  <c:pt idx="28">
                    <c:v>8</c:v>
                  </c:pt>
                  <c:pt idx="29">
                    <c:v>7</c:v>
                  </c:pt>
                  <c:pt idx="30">
                    <c:v>3</c:v>
                  </c:pt>
                </c:lvl>
              </c:multiLvlStrCache>
            </c:multiLvlStrRef>
          </c:cat>
          <c:val>
            <c:numRef>
              <c:f>Innovasjonsgrad!$F$2:$F$32</c:f>
              <c:numCache>
                <c:formatCode>0</c:formatCode>
                <c:ptCount val="31"/>
                <c:pt idx="0">
                  <c:v>68.235294117647072</c:v>
                </c:pt>
                <c:pt idx="1">
                  <c:v>65.5208333333333</c:v>
                </c:pt>
                <c:pt idx="2">
                  <c:v>56.766917293233085</c:v>
                </c:pt>
                <c:pt idx="3">
                  <c:v>43.846153846153868</c:v>
                </c:pt>
                <c:pt idx="4">
                  <c:v>38.095238095238102</c:v>
                </c:pt>
                <c:pt idx="5">
                  <c:v>68.055555555555529</c:v>
                </c:pt>
                <c:pt idx="6">
                  <c:v>64.944954128440401</c:v>
                </c:pt>
                <c:pt idx="7">
                  <c:v>50.333333333333329</c:v>
                </c:pt>
                <c:pt idx="8">
                  <c:v>125.55555555555553</c:v>
                </c:pt>
                <c:pt idx="9">
                  <c:v>87.886597938144305</c:v>
                </c:pt>
                <c:pt idx="10">
                  <c:v>89.074138329863501</c:v>
                </c:pt>
                <c:pt idx="11">
                  <c:v>99.124413145539876</c:v>
                </c:pt>
                <c:pt idx="12">
                  <c:v>93.789987789987791</c:v>
                </c:pt>
                <c:pt idx="13">
                  <c:v>125.34418022528162</c:v>
                </c:pt>
                <c:pt idx="14">
                  <c:v>83.841463414634163</c:v>
                </c:pt>
                <c:pt idx="15">
                  <c:v>95.161977834612088</c:v>
                </c:pt>
                <c:pt idx="16">
                  <c:v>93.389319552110251</c:v>
                </c:pt>
                <c:pt idx="17">
                  <c:v>90.027006172839464</c:v>
                </c:pt>
                <c:pt idx="18">
                  <c:v>89.210008327655359</c:v>
                </c:pt>
                <c:pt idx="19">
                  <c:v>86.842105263157904</c:v>
                </c:pt>
                <c:pt idx="20">
                  <c:v>88.752685540235504</c:v>
                </c:pt>
                <c:pt idx="21">
                  <c:v>110.12931034482756</c:v>
                </c:pt>
                <c:pt idx="22">
                  <c:v>117.45047996528847</c:v>
                </c:pt>
                <c:pt idx="23">
                  <c:v>58.333333333333336</c:v>
                </c:pt>
                <c:pt idx="24">
                  <c:v>86.73469387755101</c:v>
                </c:pt>
                <c:pt idx="25">
                  <c:v>106.04141335793049</c:v>
                </c:pt>
                <c:pt idx="26">
                  <c:v>103.0970625798212</c:v>
                </c:pt>
                <c:pt idx="27">
                  <c:v>64.285714285714292</c:v>
                </c:pt>
                <c:pt idx="28">
                  <c:v>164.38375350140058</c:v>
                </c:pt>
                <c:pt idx="29">
                  <c:v>109.30007610350071</c:v>
                </c:pt>
                <c:pt idx="30">
                  <c:v>114.2386177739064</c:v>
                </c:pt>
              </c:numCache>
            </c:numRef>
          </c:val>
        </c:ser>
        <c:gapWidth val="30"/>
        <c:overlap val="100"/>
        <c:axId val="258592128"/>
        <c:axId val="258602112"/>
      </c:barChart>
      <c:catAx>
        <c:axId val="2585921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602112"/>
        <c:crosses val="autoZero"/>
        <c:auto val="1"/>
        <c:lblAlgn val="ctr"/>
        <c:lblOffset val="100"/>
      </c:catAx>
      <c:valAx>
        <c:axId val="258602112"/>
        <c:scaling>
          <c:orientation val="minMax"/>
          <c:max val="499"/>
          <c:min val="0"/>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592128"/>
        <c:crosses val="autoZero"/>
        <c:crossBetween val="between"/>
      </c:valAx>
      <c:spPr>
        <a:noFill/>
        <a:ln>
          <a:noFill/>
        </a:ln>
        <a:effectLst/>
      </c:spPr>
    </c:plotArea>
    <c:legend>
      <c:legendPos val="t"/>
      <c:layout>
        <c:manualLayout>
          <c:xMode val="edge"/>
          <c:yMode val="edge"/>
          <c:x val="0.19393612577121588"/>
          <c:y val="0"/>
          <c:w val="0.61212741558858785"/>
          <c:h val="2.5578586414970933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nb-NO"/>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16719941305287"/>
          <c:y val="0.17874542889051531"/>
          <c:w val="0.52150049713148294"/>
          <c:h val="0.74798956996325949"/>
        </c:manualLayout>
      </c:layout>
      <c:radarChart>
        <c:radarStyle val="marker"/>
        <c:ser>
          <c:idx val="0"/>
          <c:order val="0"/>
          <c:tx>
            <c:strRef>
              <c:f>Edderkopper!$C$22</c:f>
              <c:strCache>
                <c:ptCount val="1"/>
                <c:pt idx="0">
                  <c:v>Flerbedrift</c:v>
                </c:pt>
              </c:strCache>
            </c:strRef>
          </c:tx>
          <c:spPr>
            <a:ln w="28575" cap="rnd">
              <a:solidFill>
                <a:schemeClr val="accent1"/>
              </a:solidFill>
              <a:round/>
            </a:ln>
            <a:effectLst/>
          </c:spPr>
          <c:marker>
            <c:symbol val="circle"/>
            <c:size val="7"/>
            <c:spPr>
              <a:solidFill>
                <a:schemeClr val="accent1"/>
              </a:solidFill>
              <a:ln w="9525">
                <a:noFill/>
              </a:ln>
              <a:effectLst/>
            </c:spPr>
          </c:marker>
          <c:dLbls>
            <c:dLbl>
              <c:idx val="0"/>
              <c:layout>
                <c:manualLayout>
                  <c:x val="0"/>
                  <c:y val="2.8024287716020557E-2"/>
                </c:manualLayout>
              </c:layout>
              <c:showVal val="1"/>
              <c:extLst>
                <c:ext xmlns:c15="http://schemas.microsoft.com/office/drawing/2012/chart" uri="{CE6537A1-D6FC-4f65-9D91-7224C49458BB}"/>
              </c:extLst>
            </c:dLbl>
            <c:dLbl>
              <c:idx val="2"/>
              <c:layout>
                <c:manualLayout>
                  <c:x val="-1.6364938120077735E-2"/>
                  <c:y val="1.8682858477347044E-2"/>
                </c:manualLayout>
              </c:layout>
              <c:showVal val="1"/>
              <c:extLst>
                <c:ext xmlns:c15="http://schemas.microsoft.com/office/drawing/2012/chart" uri="{CE6537A1-D6FC-4f65-9D91-7224C49458BB}"/>
              </c:extLst>
            </c:dLbl>
            <c:dLbl>
              <c:idx val="5"/>
              <c:layout>
                <c:manualLayout>
                  <c:x val="-2.0456172650097932E-3"/>
                  <c:y val="-2.8024287716020675E-2"/>
                </c:manualLayout>
              </c:layout>
              <c:showVal val="1"/>
              <c:extLst>
                <c:ext xmlns:c15="http://schemas.microsoft.com/office/drawing/2012/chart" uri="{CE6537A1-D6FC-4f65-9D91-7224C49458BB}"/>
              </c:extLst>
            </c:dLbl>
            <c:dLbl>
              <c:idx val="6"/>
              <c:layout>
                <c:manualLayout>
                  <c:x val="0"/>
                  <c:y val="-3.4251907208469698E-2"/>
                </c:manualLayout>
              </c:layout>
              <c:showVal val="1"/>
              <c:extLst>
                <c:ext xmlns:c15="http://schemas.microsoft.com/office/drawing/2012/chart" uri="{CE6537A1-D6FC-4f65-9D91-7224C49458BB}"/>
              </c:extLst>
            </c:dLbl>
            <c:dLbl>
              <c:idx val="7"/>
              <c:layout>
                <c:manualLayout>
                  <c:x val="1.0228086325048579E-2"/>
                  <c:y val="-3.1138097462245072E-2"/>
                </c:manualLayout>
              </c:layout>
              <c:showVal val="1"/>
              <c:extLst>
                <c:ext xmlns:c15="http://schemas.microsoft.com/office/drawing/2012/chart" uri="{CE6537A1-D6FC-4f65-9D91-7224C49458BB}"/>
              </c:extLst>
            </c:dLbl>
            <c:dLbl>
              <c:idx val="8"/>
              <c:layout>
                <c:manualLayout>
                  <c:x val="1.6364938120077735E-2"/>
                  <c:y val="-1.8682858477347044E-2"/>
                </c:manualLayout>
              </c:layout>
              <c:showVal val="1"/>
              <c:extLst>
                <c:ext xmlns:c15="http://schemas.microsoft.com/office/drawing/2012/chart" uri="{CE6537A1-D6FC-4f65-9D91-7224C49458BB}"/>
              </c:extLst>
            </c:dLbl>
            <c:dLbl>
              <c:idx val="10"/>
              <c:layout>
                <c:manualLayout>
                  <c:x val="3.0684258975145758E-2"/>
                  <c:y val="0"/>
                </c:manualLayout>
              </c:layout>
              <c:showVal val="1"/>
              <c:extLst>
                <c:ext xmlns:c15="http://schemas.microsoft.com/office/drawing/2012/chart" uri="{CE6537A1-D6FC-4f65-9D91-7224C49458BB}"/>
              </c:extLst>
            </c:dLbl>
            <c:dLbl>
              <c:idx val="11"/>
              <c:layout>
                <c:manualLayout>
                  <c:x val="4.0912345300194337E-3"/>
                  <c:y val="3.113809746224504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nb-NO"/>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Edderkopper!$D$1:$O$1</c:f>
              <c:strCache>
                <c:ptCount val="12"/>
                <c:pt idx="0">
                  <c:v>Vare</c:v>
                </c:pt>
                <c:pt idx="1">
                  <c:v>Tjeneste</c:v>
                </c:pt>
                <c:pt idx="2">
                  <c:v>Nytt marked</c:v>
                </c:pt>
                <c:pt idx="3">
                  <c:v>Nytt Verden</c:v>
                </c:pt>
                <c:pt idx="4">
                  <c:v>Metode</c:v>
                </c:pt>
                <c:pt idx="5">
                  <c:v>Distribusjon</c:v>
                </c:pt>
                <c:pt idx="6">
                  <c:v>Støtte­funksjon</c:v>
                </c:pt>
                <c:pt idx="7">
                  <c:v>Ny metode for markedet</c:v>
                </c:pt>
                <c:pt idx="8">
                  <c:v>Design</c:v>
                </c:pt>
                <c:pt idx="9">
                  <c:v>Media</c:v>
                </c:pt>
                <c:pt idx="10">
                  <c:v>Markeds­kanal</c:v>
                </c:pt>
                <c:pt idx="11">
                  <c:v>Prising</c:v>
                </c:pt>
              </c:strCache>
            </c:strRef>
          </c:cat>
          <c:val>
            <c:numRef>
              <c:f>Edderkopper!$D$22:$O$22</c:f>
              <c:numCache>
                <c:formatCode>0</c:formatCode>
                <c:ptCount val="12"/>
                <c:pt idx="0">
                  <c:v>13</c:v>
                </c:pt>
                <c:pt idx="1">
                  <c:v>58</c:v>
                </c:pt>
                <c:pt idx="2">
                  <c:v>17</c:v>
                </c:pt>
                <c:pt idx="3">
                  <c:v>50</c:v>
                </c:pt>
                <c:pt idx="4">
                  <c:v>49</c:v>
                </c:pt>
                <c:pt idx="5">
                  <c:v>28</c:v>
                </c:pt>
                <c:pt idx="6">
                  <c:v>21</c:v>
                </c:pt>
                <c:pt idx="7">
                  <c:v>13</c:v>
                </c:pt>
                <c:pt idx="8">
                  <c:v>38</c:v>
                </c:pt>
                <c:pt idx="9">
                  <c:v>60</c:v>
                </c:pt>
                <c:pt idx="10">
                  <c:v>9</c:v>
                </c:pt>
                <c:pt idx="11">
                  <c:v>19</c:v>
                </c:pt>
              </c:numCache>
            </c:numRef>
          </c:val>
        </c:ser>
        <c:ser>
          <c:idx val="1"/>
          <c:order val="1"/>
          <c:tx>
            <c:strRef>
              <c:f>Edderkopper!$C$23</c:f>
              <c:strCache>
                <c:ptCount val="1"/>
                <c:pt idx="0">
                  <c:v>Enbedrift</c:v>
                </c:pt>
              </c:strCache>
            </c:strRef>
          </c:tx>
          <c:spPr>
            <a:ln w="28575" cap="rnd">
              <a:solidFill>
                <a:srgbClr val="C00000"/>
              </a:solidFill>
              <a:round/>
            </a:ln>
            <a:effectLst/>
          </c:spPr>
          <c:marker>
            <c:symbol val="circle"/>
            <c:size val="7"/>
            <c:spPr>
              <a:solidFill>
                <a:srgbClr val="C00000"/>
              </a:solidFill>
              <a:ln w="9525">
                <a:solidFill>
                  <a:srgbClr val="C00000"/>
                </a:solidFill>
              </a:ln>
              <a:effectLst/>
            </c:spPr>
          </c:marker>
          <c:dLbls>
            <c:dLbl>
              <c:idx val="1"/>
              <c:layout>
                <c:manualLayout>
                  <c:x val="0"/>
                  <c:y val="1.5569048731122529E-2"/>
                </c:manualLayout>
              </c:layout>
              <c:showVal val="1"/>
              <c:extLst>
                <c:ext xmlns:c15="http://schemas.microsoft.com/office/drawing/2012/chart" uri="{CE6537A1-D6FC-4f65-9D91-7224C49458BB}"/>
              </c:extLst>
            </c:dLbl>
            <c:dLbl>
              <c:idx val="2"/>
              <c:layout>
                <c:manualLayout>
                  <c:x val="-4.2957962565204046E-2"/>
                  <c:y val="-3.1138097462245075E-3"/>
                </c:manualLayout>
              </c:layout>
              <c:showVal val="1"/>
              <c:extLst>
                <c:ext xmlns:c15="http://schemas.microsoft.com/office/drawing/2012/chart" uri="{CE6537A1-D6FC-4f65-9D91-7224C49458BB}"/>
              </c:extLst>
            </c:dLbl>
            <c:dLbl>
              <c:idx val="3"/>
              <c:layout>
                <c:manualLayout>
                  <c:x val="-1.2273703590058299E-2"/>
                  <c:y val="0"/>
                </c:manualLayout>
              </c:layout>
              <c:showVal val="1"/>
              <c:extLst>
                <c:ext xmlns:c15="http://schemas.microsoft.com/office/drawing/2012/chart" uri="{CE6537A1-D6FC-4f65-9D91-7224C49458BB}"/>
              </c:extLst>
            </c:dLbl>
            <c:dLbl>
              <c:idx val="5"/>
              <c:layout>
                <c:manualLayout>
                  <c:x val="-1.0228086325048579E-2"/>
                  <c:y val="-3.425190720846958E-2"/>
                </c:manualLayout>
              </c:layout>
              <c:showVal val="1"/>
              <c:extLst>
                <c:ext xmlns:c15="http://schemas.microsoft.com/office/drawing/2012/chart" uri="{CE6537A1-D6FC-4f65-9D91-7224C49458BB}"/>
              </c:extLst>
            </c:dLbl>
            <c:dLbl>
              <c:idx val="6"/>
              <c:layout>
                <c:manualLayout>
                  <c:x val="0"/>
                  <c:y val="-2.8024287716020557E-2"/>
                </c:manualLayout>
              </c:layout>
              <c:showVal val="1"/>
              <c:extLst>
                <c:ext xmlns:c15="http://schemas.microsoft.com/office/drawing/2012/chart" uri="{CE6537A1-D6FC-4f65-9D91-7224C49458BB}"/>
              </c:extLst>
            </c:dLbl>
            <c:dLbl>
              <c:idx val="7"/>
              <c:layout>
                <c:manualLayout>
                  <c:x val="6.1368517950290804E-3"/>
                  <c:y val="-2.1796668223571541E-2"/>
                </c:manualLayout>
              </c:layout>
              <c:showVal val="1"/>
              <c:extLst>
                <c:ext xmlns:c15="http://schemas.microsoft.com/office/drawing/2012/chart" uri="{CE6537A1-D6FC-4f65-9D91-7224C49458BB}"/>
              </c:extLst>
            </c:dLbl>
            <c:dLbl>
              <c:idx val="8"/>
              <c:layout>
                <c:manualLayout>
                  <c:x val="2.2501789915106884E-2"/>
                  <c:y val="-9.341429238673522E-3"/>
                </c:manualLayout>
              </c:layout>
              <c:showVal val="1"/>
              <c:extLst>
                <c:ext xmlns:c15="http://schemas.microsoft.com/office/drawing/2012/chart" uri="{CE6537A1-D6FC-4f65-9D91-7224C49458BB}"/>
              </c:extLst>
            </c:dLbl>
            <c:dLbl>
              <c:idx val="9"/>
              <c:layout>
                <c:manualLayout>
                  <c:x val="2.2501789915106884E-2"/>
                  <c:y val="2.179666822357154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nb-NO"/>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Edderkopper!$D$1:$O$1</c:f>
              <c:strCache>
                <c:ptCount val="12"/>
                <c:pt idx="0">
                  <c:v>Vare</c:v>
                </c:pt>
                <c:pt idx="1">
                  <c:v>Tjeneste</c:v>
                </c:pt>
                <c:pt idx="2">
                  <c:v>Nytt marked</c:v>
                </c:pt>
                <c:pt idx="3">
                  <c:v>Nytt Verden</c:v>
                </c:pt>
                <c:pt idx="4">
                  <c:v>Metode</c:v>
                </c:pt>
                <c:pt idx="5">
                  <c:v>Distribusjon</c:v>
                </c:pt>
                <c:pt idx="6">
                  <c:v>Støtte­funksjon</c:v>
                </c:pt>
                <c:pt idx="7">
                  <c:v>Ny metode for markedet</c:v>
                </c:pt>
                <c:pt idx="8">
                  <c:v>Design</c:v>
                </c:pt>
                <c:pt idx="9">
                  <c:v>Media</c:v>
                </c:pt>
                <c:pt idx="10">
                  <c:v>Markeds­kanal</c:v>
                </c:pt>
                <c:pt idx="11">
                  <c:v>Prising</c:v>
                </c:pt>
              </c:strCache>
            </c:strRef>
          </c:cat>
          <c:val>
            <c:numRef>
              <c:f>Edderkopper!$D$23:$O$23</c:f>
              <c:numCache>
                <c:formatCode>0</c:formatCode>
                <c:ptCount val="12"/>
                <c:pt idx="0">
                  <c:v>72</c:v>
                </c:pt>
                <c:pt idx="1">
                  <c:v>60</c:v>
                </c:pt>
                <c:pt idx="2">
                  <c:v>21</c:v>
                </c:pt>
                <c:pt idx="3">
                  <c:v>53</c:v>
                </c:pt>
                <c:pt idx="4">
                  <c:v>72</c:v>
                </c:pt>
                <c:pt idx="5">
                  <c:v>52</c:v>
                </c:pt>
                <c:pt idx="6">
                  <c:v>59</c:v>
                </c:pt>
                <c:pt idx="7">
                  <c:v>55</c:v>
                </c:pt>
                <c:pt idx="8">
                  <c:v>53</c:v>
                </c:pt>
                <c:pt idx="9">
                  <c:v>56</c:v>
                </c:pt>
                <c:pt idx="10">
                  <c:v>57</c:v>
                </c:pt>
                <c:pt idx="11">
                  <c:v>69</c:v>
                </c:pt>
              </c:numCache>
            </c:numRef>
          </c:val>
        </c:ser>
        <c:axId val="258635648"/>
        <c:axId val="258637184"/>
      </c:radarChart>
      <c:catAx>
        <c:axId val="258635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58637184"/>
        <c:crosses val="autoZero"/>
        <c:auto val="1"/>
        <c:lblAlgn val="ctr"/>
        <c:lblOffset val="100"/>
      </c:catAx>
      <c:valAx>
        <c:axId val="258637184"/>
        <c:scaling>
          <c:orientation val="maxMin"/>
          <c:max val="83"/>
          <c:min val="0"/>
        </c:scaling>
        <c:delete val="1"/>
        <c:axPos val="l"/>
        <c:majorGridlines>
          <c:spPr>
            <a:ln w="9525" cap="flat" cmpd="sng" algn="ctr">
              <a:solidFill>
                <a:schemeClr val="tx1">
                  <a:lumMod val="15000"/>
                  <a:lumOff val="85000"/>
                </a:schemeClr>
              </a:solidFill>
              <a:round/>
            </a:ln>
            <a:effectLst/>
          </c:spPr>
        </c:majorGridlines>
        <c:numFmt formatCode="0" sourceLinked="1"/>
        <c:majorTickMark val="none"/>
        <c:tickLblPos val="none"/>
        <c:crossAx val="25863564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chart>
  <c:spPr>
    <a:solidFill>
      <a:schemeClr val="bg1"/>
    </a:solidFill>
    <a:ln w="9525" cap="flat" cmpd="sng" algn="ctr">
      <a:noFill/>
      <a:round/>
    </a:ln>
    <a:effectLst/>
  </c:spPr>
  <c:txPr>
    <a:bodyPr/>
    <a:lstStyle/>
    <a:p>
      <a:pPr>
        <a:defRPr/>
      </a:pPr>
      <a:endParaRPr lang="nb-NO"/>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34249290267289"/>
          <c:y val="4.9948146725561741E-2"/>
          <c:w val="0.59402405056510821"/>
          <c:h val="0.91132901787563503"/>
        </c:manualLayout>
      </c:layout>
      <c:barChart>
        <c:barDir val="bar"/>
        <c:grouping val="stacked"/>
        <c:ser>
          <c:idx val="0"/>
          <c:order val="0"/>
          <c:tx>
            <c:strRef>
              <c:f>'Region frekvens'!$D$1</c:f>
              <c:strCache>
                <c:ptCount val="1"/>
                <c:pt idx="0">
                  <c:v>Har eksport</c:v>
                </c:pt>
              </c:strCache>
            </c:strRef>
          </c:tx>
          <c:spPr>
            <a:solidFill>
              <a:srgbClr val="0070C0"/>
            </a:solidFill>
            <a:ln>
              <a:noFill/>
            </a:ln>
            <a:effectLst/>
          </c:spPr>
          <c:dLbls>
            <c:dLbl>
              <c:idx val="18"/>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'Region frekvens'!$B$2:$C$32</c:f>
              <c:multiLvlStrCache>
                <c:ptCount val="31"/>
                <c:lvl>
                  <c:pt idx="0">
                    <c:v>Hallingdal</c:v>
                  </c:pt>
                  <c:pt idx="1">
                    <c:v>Fjellregionen</c:v>
                  </c:pt>
                  <c:pt idx="2">
                    <c:v>Hadeland</c:v>
                  </c:pt>
                  <c:pt idx="3">
                    <c:v>Valdres</c:v>
                  </c:pt>
                  <c:pt idx="4">
                    <c:v>Ringerike/Hole</c:v>
                  </c:pt>
                  <c:pt idx="5">
                    <c:v>Midt-Telemark</c:v>
                  </c:pt>
                  <c:pt idx="6">
                    <c:v>Indre Østfold</c:v>
                  </c:pt>
                  <c:pt idx="7">
                    <c:v>Midt-Gudbrandsdal</c:v>
                  </c:pt>
                  <c:pt idx="8">
                    <c:v>Hamarregionen</c:v>
                  </c:pt>
                  <c:pt idx="9">
                    <c:v>Vest-Telemark</c:v>
                  </c:pt>
                  <c:pt idx="10">
                    <c:v>Drammensregionen</c:v>
                  </c:pt>
                  <c:pt idx="11">
                    <c:v>Lillehammerregionen</c:v>
                  </c:pt>
                  <c:pt idx="12">
                    <c:v>Øst-Telemark</c:v>
                  </c:pt>
                  <c:pt idx="13">
                    <c:v>Follo</c:v>
                  </c:pt>
                  <c:pt idx="14">
                    <c:v>Sør Østerdal</c:v>
                  </c:pt>
                  <c:pt idx="15">
                    <c:v>Nedre Glomma</c:v>
                  </c:pt>
                  <c:pt idx="16">
                    <c:v>Nedre Romerike</c:v>
                  </c:pt>
                  <c:pt idx="17">
                    <c:v>Mosseregionen</c:v>
                  </c:pt>
                  <c:pt idx="18">
                    <c:v>Glåmdal</c:v>
                  </c:pt>
                  <c:pt idx="19">
                    <c:v>Gjøvikregionen</c:v>
                  </c:pt>
                  <c:pt idx="20">
                    <c:v>Øvre Romerike</c:v>
                  </c:pt>
                  <c:pt idx="21">
                    <c:v>Grenland</c:v>
                  </c:pt>
                  <c:pt idx="22">
                    <c:v>Midt-Buskerud</c:v>
                  </c:pt>
                  <c:pt idx="23">
                    <c:v>Sandefjord/Larvik</c:v>
                  </c:pt>
                  <c:pt idx="24">
                    <c:v>Nord-Gudbrandsdal</c:v>
                  </c:pt>
                  <c:pt idx="25">
                    <c:v>Tønsbergregionen</c:v>
                  </c:pt>
                  <c:pt idx="26">
                    <c:v>Oslo</c:v>
                  </c:pt>
                  <c:pt idx="27">
                    <c:v>Vestviken</c:v>
                  </c:pt>
                  <c:pt idx="28">
                    <c:v>Halden</c:v>
                  </c:pt>
                  <c:pt idx="29">
                    <c:v>Akershus Vest</c:v>
                  </c:pt>
                  <c:pt idx="30">
                    <c:v>Kongsberg/Numedal</c:v>
                  </c:pt>
                </c:lvl>
                <c:lvl>
                  <c:pt idx="0">
                    <c:v>82</c:v>
                  </c:pt>
                  <c:pt idx="1">
                    <c:v>81</c:v>
                  </c:pt>
                  <c:pt idx="2">
                    <c:v>78</c:v>
                  </c:pt>
                  <c:pt idx="3">
                    <c:v>78</c:v>
                  </c:pt>
                  <c:pt idx="4">
                    <c:v>77</c:v>
                  </c:pt>
                  <c:pt idx="5">
                    <c:v>75</c:v>
                  </c:pt>
                  <c:pt idx="6">
                    <c:v>71</c:v>
                  </c:pt>
                  <c:pt idx="7">
                    <c:v>70</c:v>
                  </c:pt>
                  <c:pt idx="8">
                    <c:v>68</c:v>
                  </c:pt>
                  <c:pt idx="9">
                    <c:v>64</c:v>
                  </c:pt>
                  <c:pt idx="10">
                    <c:v>61</c:v>
                  </c:pt>
                  <c:pt idx="11">
                    <c:v>59</c:v>
                  </c:pt>
                  <c:pt idx="12">
                    <c:v>57</c:v>
                  </c:pt>
                  <c:pt idx="13">
                    <c:v>56</c:v>
                  </c:pt>
                  <c:pt idx="14">
                    <c:v>52</c:v>
                  </c:pt>
                  <c:pt idx="15">
                    <c:v>51</c:v>
                  </c:pt>
                  <c:pt idx="16">
                    <c:v>48</c:v>
                  </c:pt>
                  <c:pt idx="17">
                    <c:v>46</c:v>
                  </c:pt>
                  <c:pt idx="18">
                    <c:v>45</c:v>
                  </c:pt>
                  <c:pt idx="19">
                    <c:v>43</c:v>
                  </c:pt>
                  <c:pt idx="20">
                    <c:v>40</c:v>
                  </c:pt>
                  <c:pt idx="21">
                    <c:v>36</c:v>
                  </c:pt>
                  <c:pt idx="22">
                    <c:v>32</c:v>
                  </c:pt>
                  <c:pt idx="23">
                    <c:v>28</c:v>
                  </c:pt>
                  <c:pt idx="24">
                    <c:v>27</c:v>
                  </c:pt>
                  <c:pt idx="25">
                    <c:v>24</c:v>
                  </c:pt>
                  <c:pt idx="26">
                    <c:v>19</c:v>
                  </c:pt>
                  <c:pt idx="27">
                    <c:v>17</c:v>
                  </c:pt>
                  <c:pt idx="28">
                    <c:v>13</c:v>
                  </c:pt>
                  <c:pt idx="29">
                    <c:v>5</c:v>
                  </c:pt>
                  <c:pt idx="30">
                    <c:v>2</c:v>
                  </c:pt>
                </c:lvl>
              </c:multiLvlStrCache>
            </c:multiLvlStrRef>
          </c:cat>
          <c:val>
            <c:numRef>
              <c:f>'Region frekvens'!$D$2:$D$32</c:f>
              <c:numCache>
                <c:formatCode>0.0</c:formatCode>
                <c:ptCount val="31"/>
                <c:pt idx="0">
                  <c:v>11.764705882352942</c:v>
                </c:pt>
                <c:pt idx="1">
                  <c:v>12.121212121212116</c:v>
                </c:pt>
                <c:pt idx="2">
                  <c:v>16</c:v>
                </c:pt>
                <c:pt idx="3">
                  <c:v>16</c:v>
                </c:pt>
                <c:pt idx="4">
                  <c:v>16.326530612244891</c:v>
                </c:pt>
                <c:pt idx="5">
                  <c:v>19.04761904761904</c:v>
                </c:pt>
                <c:pt idx="6">
                  <c:v>26.470588235294116</c:v>
                </c:pt>
                <c:pt idx="7">
                  <c:v>21.875</c:v>
                </c:pt>
                <c:pt idx="8">
                  <c:v>28.571428571428573</c:v>
                </c:pt>
                <c:pt idx="9">
                  <c:v>27.586206896551715</c:v>
                </c:pt>
                <c:pt idx="10">
                  <c:v>29.914529914529901</c:v>
                </c:pt>
                <c:pt idx="11">
                  <c:v>28.048780487804876</c:v>
                </c:pt>
                <c:pt idx="12">
                  <c:v>30.303030303030297</c:v>
                </c:pt>
                <c:pt idx="13">
                  <c:v>31.481481481481481</c:v>
                </c:pt>
                <c:pt idx="14">
                  <c:v>35.897435897435912</c:v>
                </c:pt>
                <c:pt idx="15">
                  <c:v>33.203125000000014</c:v>
                </c:pt>
                <c:pt idx="16">
                  <c:v>33.181818181818166</c:v>
                </c:pt>
                <c:pt idx="17">
                  <c:v>33</c:v>
                </c:pt>
                <c:pt idx="18">
                  <c:v>35.714285714285715</c:v>
                </c:pt>
                <c:pt idx="19">
                  <c:v>33.333333333333336</c:v>
                </c:pt>
                <c:pt idx="20">
                  <c:v>34.86238532110093</c:v>
                </c:pt>
                <c:pt idx="21">
                  <c:v>35.897435897435912</c:v>
                </c:pt>
                <c:pt idx="22">
                  <c:v>37.037037037037024</c:v>
                </c:pt>
                <c:pt idx="23">
                  <c:v>36.363636363636338</c:v>
                </c:pt>
                <c:pt idx="24">
                  <c:v>31.428571428571427</c:v>
                </c:pt>
                <c:pt idx="25">
                  <c:v>36.440677966101696</c:v>
                </c:pt>
                <c:pt idx="26">
                  <c:v>40.054869684499288</c:v>
                </c:pt>
                <c:pt idx="27">
                  <c:v>43.3734939759036</c:v>
                </c:pt>
                <c:pt idx="28">
                  <c:v>46.34146341463412</c:v>
                </c:pt>
                <c:pt idx="29">
                  <c:v>49.869451697127936</c:v>
                </c:pt>
                <c:pt idx="30">
                  <c:v>53.448275862068968</c:v>
                </c:pt>
              </c:numCache>
            </c:numRef>
          </c:val>
        </c:ser>
        <c:ser>
          <c:idx val="1"/>
          <c:order val="1"/>
          <c:tx>
            <c:strRef>
              <c:f>'Region frekvens'!$E$1</c:f>
              <c:strCache>
                <c:ptCount val="1"/>
                <c:pt idx="0">
                  <c:v>Hovermarked utlands</c:v>
                </c:pt>
              </c:strCache>
            </c:strRef>
          </c:tx>
          <c:spPr>
            <a:solidFill>
              <a:srgbClr val="C00000"/>
            </a:solidFill>
            <a:ln>
              <a:noFill/>
            </a:ln>
            <a:effectLst/>
          </c:spPr>
          <c:dLbls>
            <c:dLbl>
              <c:idx val="18"/>
              <c:layout>
                <c:manualLayout>
                  <c:x val="3.540606328833814E-2"/>
                  <c:y val="-7.0141067613768802E-17"/>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dLbl>
              <c:idx val="24"/>
              <c:showVal val="1"/>
              <c:extLst>
                <c:ext xmlns:c15="http://schemas.microsoft.com/office/drawing/2012/chart" uri="{CE6537A1-D6FC-4f65-9D91-7224C49458BB}"/>
              </c:extLst>
            </c:dLbl>
            <c:dLbl>
              <c:idx val="29"/>
              <c:showVal val="1"/>
              <c:extLst>
                <c:ext xmlns:c15="http://schemas.microsoft.com/office/drawing/2012/chart" uri="{CE6537A1-D6FC-4f65-9D91-7224C49458BB}"/>
              </c:extLst>
            </c:dLbl>
            <c:dLbl>
              <c:idx val="30"/>
              <c:showVal val="1"/>
              <c:extLst>
                <c:ext xmlns:c15="http://schemas.microsoft.com/office/drawing/2012/chart" uri="{CE6537A1-D6FC-4f65-9D91-7224C49458BB}"/>
              </c:extLst>
            </c:dLbl>
            <c:delete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'Region frekvens'!$B$2:$C$32</c:f>
              <c:multiLvlStrCache>
                <c:ptCount val="31"/>
                <c:lvl>
                  <c:pt idx="0">
                    <c:v>Hallingdal</c:v>
                  </c:pt>
                  <c:pt idx="1">
                    <c:v>Fjellregionen</c:v>
                  </c:pt>
                  <c:pt idx="2">
                    <c:v>Hadeland</c:v>
                  </c:pt>
                  <c:pt idx="3">
                    <c:v>Valdres</c:v>
                  </c:pt>
                  <c:pt idx="4">
                    <c:v>Ringerike/Hole</c:v>
                  </c:pt>
                  <c:pt idx="5">
                    <c:v>Midt-Telemark</c:v>
                  </c:pt>
                  <c:pt idx="6">
                    <c:v>Indre Østfold</c:v>
                  </c:pt>
                  <c:pt idx="7">
                    <c:v>Midt-Gudbrandsdal</c:v>
                  </c:pt>
                  <c:pt idx="8">
                    <c:v>Hamarregionen</c:v>
                  </c:pt>
                  <c:pt idx="9">
                    <c:v>Vest-Telemark</c:v>
                  </c:pt>
                  <c:pt idx="10">
                    <c:v>Drammensregionen</c:v>
                  </c:pt>
                  <c:pt idx="11">
                    <c:v>Lillehammerregionen</c:v>
                  </c:pt>
                  <c:pt idx="12">
                    <c:v>Øst-Telemark</c:v>
                  </c:pt>
                  <c:pt idx="13">
                    <c:v>Follo</c:v>
                  </c:pt>
                  <c:pt idx="14">
                    <c:v>Sør Østerdal</c:v>
                  </c:pt>
                  <c:pt idx="15">
                    <c:v>Nedre Glomma</c:v>
                  </c:pt>
                  <c:pt idx="16">
                    <c:v>Nedre Romerike</c:v>
                  </c:pt>
                  <c:pt idx="17">
                    <c:v>Mosseregionen</c:v>
                  </c:pt>
                  <c:pt idx="18">
                    <c:v>Glåmdal</c:v>
                  </c:pt>
                  <c:pt idx="19">
                    <c:v>Gjøvikregionen</c:v>
                  </c:pt>
                  <c:pt idx="20">
                    <c:v>Øvre Romerike</c:v>
                  </c:pt>
                  <c:pt idx="21">
                    <c:v>Grenland</c:v>
                  </c:pt>
                  <c:pt idx="22">
                    <c:v>Midt-Buskerud</c:v>
                  </c:pt>
                  <c:pt idx="23">
                    <c:v>Sandefjord/Larvik</c:v>
                  </c:pt>
                  <c:pt idx="24">
                    <c:v>Nord-Gudbrandsdal</c:v>
                  </c:pt>
                  <c:pt idx="25">
                    <c:v>Tønsbergregionen</c:v>
                  </c:pt>
                  <c:pt idx="26">
                    <c:v>Oslo</c:v>
                  </c:pt>
                  <c:pt idx="27">
                    <c:v>Vestviken</c:v>
                  </c:pt>
                  <c:pt idx="28">
                    <c:v>Halden</c:v>
                  </c:pt>
                  <c:pt idx="29">
                    <c:v>Akershus Vest</c:v>
                  </c:pt>
                  <c:pt idx="30">
                    <c:v>Kongsberg/Numedal</c:v>
                  </c:pt>
                </c:lvl>
                <c:lvl>
                  <c:pt idx="0">
                    <c:v>82</c:v>
                  </c:pt>
                  <c:pt idx="1">
                    <c:v>81</c:v>
                  </c:pt>
                  <c:pt idx="2">
                    <c:v>78</c:v>
                  </c:pt>
                  <c:pt idx="3">
                    <c:v>78</c:v>
                  </c:pt>
                  <c:pt idx="4">
                    <c:v>77</c:v>
                  </c:pt>
                  <c:pt idx="5">
                    <c:v>75</c:v>
                  </c:pt>
                  <c:pt idx="6">
                    <c:v>71</c:v>
                  </c:pt>
                  <c:pt idx="7">
                    <c:v>70</c:v>
                  </c:pt>
                  <c:pt idx="8">
                    <c:v>68</c:v>
                  </c:pt>
                  <c:pt idx="9">
                    <c:v>64</c:v>
                  </c:pt>
                  <c:pt idx="10">
                    <c:v>61</c:v>
                  </c:pt>
                  <c:pt idx="11">
                    <c:v>59</c:v>
                  </c:pt>
                  <c:pt idx="12">
                    <c:v>57</c:v>
                  </c:pt>
                  <c:pt idx="13">
                    <c:v>56</c:v>
                  </c:pt>
                  <c:pt idx="14">
                    <c:v>52</c:v>
                  </c:pt>
                  <c:pt idx="15">
                    <c:v>51</c:v>
                  </c:pt>
                  <c:pt idx="16">
                    <c:v>48</c:v>
                  </c:pt>
                  <c:pt idx="17">
                    <c:v>46</c:v>
                  </c:pt>
                  <c:pt idx="18">
                    <c:v>45</c:v>
                  </c:pt>
                  <c:pt idx="19">
                    <c:v>43</c:v>
                  </c:pt>
                  <c:pt idx="20">
                    <c:v>40</c:v>
                  </c:pt>
                  <c:pt idx="21">
                    <c:v>36</c:v>
                  </c:pt>
                  <c:pt idx="22">
                    <c:v>32</c:v>
                  </c:pt>
                  <c:pt idx="23">
                    <c:v>28</c:v>
                  </c:pt>
                  <c:pt idx="24">
                    <c:v>27</c:v>
                  </c:pt>
                  <c:pt idx="25">
                    <c:v>24</c:v>
                  </c:pt>
                  <c:pt idx="26">
                    <c:v>19</c:v>
                  </c:pt>
                  <c:pt idx="27">
                    <c:v>17</c:v>
                  </c:pt>
                  <c:pt idx="28">
                    <c:v>13</c:v>
                  </c:pt>
                  <c:pt idx="29">
                    <c:v>5</c:v>
                  </c:pt>
                  <c:pt idx="30">
                    <c:v>2</c:v>
                  </c:pt>
                </c:lvl>
              </c:multiLvlStrCache>
            </c:multiLvlStrRef>
          </c:cat>
          <c:val>
            <c:numRef>
              <c:f>'Region frekvens'!$E$2:$E$32</c:f>
              <c:numCache>
                <c:formatCode>0.0</c:formatCode>
                <c:ptCount val="31"/>
                <c:pt idx="0">
                  <c:v>0</c:v>
                </c:pt>
                <c:pt idx="1">
                  <c:v>0</c:v>
                </c:pt>
                <c:pt idx="2">
                  <c:v>0</c:v>
                </c:pt>
                <c:pt idx="3">
                  <c:v>0</c:v>
                </c:pt>
                <c:pt idx="4">
                  <c:v>0</c:v>
                </c:pt>
                <c:pt idx="5">
                  <c:v>4.7619047619047619</c:v>
                </c:pt>
                <c:pt idx="6">
                  <c:v>1.4705882352941178</c:v>
                </c:pt>
                <c:pt idx="7">
                  <c:v>6.25</c:v>
                </c:pt>
                <c:pt idx="8">
                  <c:v>1.0204081632653061</c:v>
                </c:pt>
                <c:pt idx="9">
                  <c:v>3.4482758620689653</c:v>
                </c:pt>
                <c:pt idx="10">
                  <c:v>2.5641025641025652</c:v>
                </c:pt>
                <c:pt idx="11">
                  <c:v>4.8780487804878083</c:v>
                </c:pt>
                <c:pt idx="12">
                  <c:v>3.0303030303030303</c:v>
                </c:pt>
                <c:pt idx="13">
                  <c:v>2.4691358024691366</c:v>
                </c:pt>
                <c:pt idx="14">
                  <c:v>0</c:v>
                </c:pt>
                <c:pt idx="15">
                  <c:v>3.125</c:v>
                </c:pt>
                <c:pt idx="16">
                  <c:v>3.6363636363636354</c:v>
                </c:pt>
                <c:pt idx="17">
                  <c:v>4</c:v>
                </c:pt>
                <c:pt idx="18">
                  <c:v>1.4285714285714286</c:v>
                </c:pt>
                <c:pt idx="19">
                  <c:v>4.8780487804878083</c:v>
                </c:pt>
                <c:pt idx="20">
                  <c:v>3.6697247706422038</c:v>
                </c:pt>
                <c:pt idx="21">
                  <c:v>3.8461538461538463</c:v>
                </c:pt>
                <c:pt idx="22">
                  <c:v>3.7037037037037042</c:v>
                </c:pt>
                <c:pt idx="23">
                  <c:v>6.4171122994652388</c:v>
                </c:pt>
                <c:pt idx="24">
                  <c:v>11.428571428571422</c:v>
                </c:pt>
                <c:pt idx="25">
                  <c:v>8.4745762711864465</c:v>
                </c:pt>
                <c:pt idx="26">
                  <c:v>7.2702331961591256</c:v>
                </c:pt>
                <c:pt idx="27">
                  <c:v>4.8192771084337371</c:v>
                </c:pt>
                <c:pt idx="28">
                  <c:v>4.8780487804878083</c:v>
                </c:pt>
                <c:pt idx="29">
                  <c:v>11.22715404699739</c:v>
                </c:pt>
                <c:pt idx="30">
                  <c:v>17.241379310344829</c:v>
                </c:pt>
              </c:numCache>
            </c:numRef>
          </c:val>
        </c:ser>
        <c:gapWidth val="30"/>
        <c:overlap val="100"/>
        <c:axId val="258802816"/>
        <c:axId val="258804352"/>
      </c:barChart>
      <c:catAx>
        <c:axId val="2588028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804352"/>
        <c:crosses val="autoZero"/>
        <c:auto val="1"/>
        <c:lblAlgn val="ctr"/>
        <c:lblOffset val="100"/>
      </c:catAx>
      <c:valAx>
        <c:axId val="25880435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80281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34249290267289"/>
          <c:y val="5.3367144151967562E-2"/>
          <c:w val="0.59402405056510821"/>
          <c:h val="0.9284857364260688"/>
        </c:manualLayout>
      </c:layout>
      <c:barChart>
        <c:barDir val="bar"/>
        <c:grouping val="stacked"/>
        <c:ser>
          <c:idx val="0"/>
          <c:order val="0"/>
          <c:tx>
            <c:strRef>
              <c:f>'Region sysselsatte'!$D$1</c:f>
              <c:strCache>
                <c:ptCount val="1"/>
                <c:pt idx="0">
                  <c:v>Har eksport</c:v>
                </c:pt>
              </c:strCache>
            </c:strRef>
          </c:tx>
          <c:spPr>
            <a:solidFill>
              <a:srgbClr val="0070C0"/>
            </a:solidFill>
            <a:ln>
              <a:noFill/>
            </a:ln>
            <a:effectLst/>
          </c:spPr>
          <c:dLbls>
            <c:dLbl>
              <c:idx val="0"/>
              <c:layout>
                <c:manualLayout>
                  <c:x val="5.7534852843549388E-2"/>
                  <c:y val="0"/>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dLbl>
              <c:idx val="2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'Region sysselsatte'!$B$2:$C$32</c:f>
              <c:multiLvlStrCache>
                <c:ptCount val="31"/>
                <c:lvl>
                  <c:pt idx="0">
                    <c:v>Fjellregionen</c:v>
                  </c:pt>
                  <c:pt idx="1">
                    <c:v>Valdres</c:v>
                  </c:pt>
                  <c:pt idx="2">
                    <c:v>Hallingdal</c:v>
                  </c:pt>
                  <c:pt idx="3">
                    <c:v>Ringerike/Hole</c:v>
                  </c:pt>
                  <c:pt idx="4">
                    <c:v>Indre Østfold</c:v>
                  </c:pt>
                  <c:pt idx="5">
                    <c:v>Hadeland</c:v>
                  </c:pt>
                  <c:pt idx="6">
                    <c:v>Follo</c:v>
                  </c:pt>
                  <c:pt idx="7">
                    <c:v>Midt-Buskerud</c:v>
                  </c:pt>
                  <c:pt idx="8">
                    <c:v>Øst-Telemark</c:v>
                  </c:pt>
                  <c:pt idx="9">
                    <c:v>Lillehammerregionen</c:v>
                  </c:pt>
                  <c:pt idx="10">
                    <c:v>Hamarregionen</c:v>
                  </c:pt>
                  <c:pt idx="11">
                    <c:v>Vest-Telemark</c:v>
                  </c:pt>
                  <c:pt idx="12">
                    <c:v>Midt-Gudbrandsdal</c:v>
                  </c:pt>
                  <c:pt idx="13">
                    <c:v>Sør Østerdal</c:v>
                  </c:pt>
                  <c:pt idx="14">
                    <c:v>Nord-Gudbrandsdal</c:v>
                  </c:pt>
                  <c:pt idx="15">
                    <c:v>Oslo</c:v>
                  </c:pt>
                  <c:pt idx="16">
                    <c:v>Grenland</c:v>
                  </c:pt>
                  <c:pt idx="17">
                    <c:v>Drammensregionen</c:v>
                  </c:pt>
                  <c:pt idx="18">
                    <c:v>Nedre Glomma</c:v>
                  </c:pt>
                  <c:pt idx="19">
                    <c:v>Nedre Romerike</c:v>
                  </c:pt>
                  <c:pt idx="20">
                    <c:v>Glåmdal</c:v>
                  </c:pt>
                  <c:pt idx="21">
                    <c:v>Midt-Telemark</c:v>
                  </c:pt>
                  <c:pt idx="22">
                    <c:v>Mosseregionen</c:v>
                  </c:pt>
                  <c:pt idx="23">
                    <c:v>Øvre Romerike</c:v>
                  </c:pt>
                  <c:pt idx="24">
                    <c:v>Tønsbergregionen</c:v>
                  </c:pt>
                  <c:pt idx="25">
                    <c:v>Gjøvikregionen</c:v>
                  </c:pt>
                  <c:pt idx="26">
                    <c:v>Sandefjord/Larvik</c:v>
                  </c:pt>
                  <c:pt idx="27">
                    <c:v>Vestviken</c:v>
                  </c:pt>
                  <c:pt idx="28">
                    <c:v>Akershus Vest</c:v>
                  </c:pt>
                  <c:pt idx="29">
                    <c:v>Halden</c:v>
                  </c:pt>
                  <c:pt idx="30">
                    <c:v>Kongsberg/Numedal</c:v>
                  </c:pt>
                </c:lvl>
                <c:lvl>
                  <c:pt idx="0">
                    <c:v>82</c:v>
                  </c:pt>
                  <c:pt idx="1">
                    <c:v>80</c:v>
                  </c:pt>
                  <c:pt idx="2">
                    <c:v>79</c:v>
                  </c:pt>
                  <c:pt idx="3">
                    <c:v>78</c:v>
                  </c:pt>
                  <c:pt idx="4">
                    <c:v>77</c:v>
                  </c:pt>
                  <c:pt idx="5">
                    <c:v>73</c:v>
                  </c:pt>
                  <c:pt idx="6">
                    <c:v>72</c:v>
                  </c:pt>
                  <c:pt idx="7">
                    <c:v>71</c:v>
                  </c:pt>
                  <c:pt idx="8">
                    <c:v>70</c:v>
                  </c:pt>
                  <c:pt idx="9">
                    <c:v>68</c:v>
                  </c:pt>
                  <c:pt idx="10">
                    <c:v>67</c:v>
                  </c:pt>
                  <c:pt idx="11">
                    <c:v>66</c:v>
                  </c:pt>
                  <c:pt idx="12">
                    <c:v>65</c:v>
                  </c:pt>
                  <c:pt idx="13">
                    <c:v>63</c:v>
                  </c:pt>
                  <c:pt idx="14">
                    <c:v>59</c:v>
                  </c:pt>
                  <c:pt idx="15">
                    <c:v>57</c:v>
                  </c:pt>
                  <c:pt idx="16">
                    <c:v>56</c:v>
                  </c:pt>
                  <c:pt idx="17">
                    <c:v>55</c:v>
                  </c:pt>
                  <c:pt idx="18">
                    <c:v>53</c:v>
                  </c:pt>
                  <c:pt idx="19">
                    <c:v>52</c:v>
                  </c:pt>
                  <c:pt idx="20">
                    <c:v>51</c:v>
                  </c:pt>
                  <c:pt idx="21">
                    <c:v>43</c:v>
                  </c:pt>
                  <c:pt idx="22">
                    <c:v>40</c:v>
                  </c:pt>
                  <c:pt idx="23">
                    <c:v>30</c:v>
                  </c:pt>
                  <c:pt idx="24">
                    <c:v>26</c:v>
                  </c:pt>
                  <c:pt idx="25">
                    <c:v>24</c:v>
                  </c:pt>
                  <c:pt idx="26">
                    <c:v>20</c:v>
                  </c:pt>
                  <c:pt idx="27">
                    <c:v>10</c:v>
                  </c:pt>
                  <c:pt idx="28">
                    <c:v>8</c:v>
                  </c:pt>
                  <c:pt idx="29">
                    <c:v>3</c:v>
                  </c:pt>
                  <c:pt idx="30">
                    <c:v>1</c:v>
                  </c:pt>
                </c:lvl>
              </c:multiLvlStrCache>
            </c:multiLvlStrRef>
          </c:cat>
          <c:val>
            <c:numRef>
              <c:f>'Region sysselsatte'!$D$2:$D$32</c:f>
              <c:numCache>
                <c:formatCode>0.0</c:formatCode>
                <c:ptCount val="31"/>
                <c:pt idx="0">
                  <c:v>13.821138211382117</c:v>
                </c:pt>
                <c:pt idx="1">
                  <c:v>19.438877755511029</c:v>
                </c:pt>
                <c:pt idx="2">
                  <c:v>20.956719817767635</c:v>
                </c:pt>
                <c:pt idx="3">
                  <c:v>22.898401237751411</c:v>
                </c:pt>
                <c:pt idx="4">
                  <c:v>22.968308754314403</c:v>
                </c:pt>
                <c:pt idx="5">
                  <c:v>29.324546952224047</c:v>
                </c:pt>
                <c:pt idx="6">
                  <c:v>28.941921344210407</c:v>
                </c:pt>
                <c:pt idx="7">
                  <c:v>26.164645820038288</c:v>
                </c:pt>
                <c:pt idx="8">
                  <c:v>26.877040261153432</c:v>
                </c:pt>
                <c:pt idx="9">
                  <c:v>30.368311327310632</c:v>
                </c:pt>
                <c:pt idx="10">
                  <c:v>32.61643835616438</c:v>
                </c:pt>
                <c:pt idx="11">
                  <c:v>31.491002570694086</c:v>
                </c:pt>
                <c:pt idx="12">
                  <c:v>29.377203290246776</c:v>
                </c:pt>
                <c:pt idx="13">
                  <c:v>40.206185567010294</c:v>
                </c:pt>
                <c:pt idx="14">
                  <c:v>38.609112709832132</c:v>
                </c:pt>
                <c:pt idx="15">
                  <c:v>42.810900262777423</c:v>
                </c:pt>
                <c:pt idx="16">
                  <c:v>46.018827221023727</c:v>
                </c:pt>
                <c:pt idx="17">
                  <c:v>42.580082806711701</c:v>
                </c:pt>
                <c:pt idx="18">
                  <c:v>41.14086725810462</c:v>
                </c:pt>
                <c:pt idx="19">
                  <c:v>48.859787762474575</c:v>
                </c:pt>
                <c:pt idx="20">
                  <c:v>49.213836477987407</c:v>
                </c:pt>
                <c:pt idx="21">
                  <c:v>51.826792963464143</c:v>
                </c:pt>
                <c:pt idx="22">
                  <c:v>50.266951414842495</c:v>
                </c:pt>
                <c:pt idx="23">
                  <c:v>62.817690614368594</c:v>
                </c:pt>
                <c:pt idx="24">
                  <c:v>51.420101367505019</c:v>
                </c:pt>
                <c:pt idx="25">
                  <c:v>53.155301223970767</c:v>
                </c:pt>
                <c:pt idx="26">
                  <c:v>54.399128645770311</c:v>
                </c:pt>
                <c:pt idx="27">
                  <c:v>60.365029292474098</c:v>
                </c:pt>
                <c:pt idx="28">
                  <c:v>59.653589840311831</c:v>
                </c:pt>
                <c:pt idx="29">
                  <c:v>80.240103828682692</c:v>
                </c:pt>
                <c:pt idx="30">
                  <c:v>91.146666666666661</c:v>
                </c:pt>
              </c:numCache>
            </c:numRef>
          </c:val>
        </c:ser>
        <c:ser>
          <c:idx val="1"/>
          <c:order val="1"/>
          <c:tx>
            <c:strRef>
              <c:f>'Region sysselsatte'!$E$1</c:f>
              <c:strCache>
                <c:ptCount val="1"/>
                <c:pt idx="0">
                  <c:v>Hovermarked utland</c:v>
                </c:pt>
              </c:strCache>
            </c:strRef>
          </c:tx>
          <c:spPr>
            <a:solidFill>
              <a:srgbClr val="C00000"/>
            </a:solidFill>
            <a:ln>
              <a:noFill/>
            </a:ln>
            <a:effectLst/>
          </c:spPr>
          <c:dLbls>
            <c:dLbl>
              <c:idx val="20"/>
              <c:layout>
                <c:manualLayout>
                  <c:x val="4.4257579110422579E-2"/>
                  <c:y val="-6.8020115193576911E-17"/>
                </c:manualLayout>
              </c:layout>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dLbl>
              <c:idx val="24"/>
              <c:layout>
                <c:manualLayout>
                  <c:x val="-8.8515158220845384E-3"/>
                  <c:y val="0"/>
                </c:manualLayout>
              </c:layout>
              <c:showVal val="1"/>
              <c:extLst>
                <c:ext xmlns:c15="http://schemas.microsoft.com/office/drawing/2012/chart" uri="{CE6537A1-D6FC-4f65-9D91-7224C49458BB}"/>
              </c:extLst>
            </c:dLbl>
            <c:dLbl>
              <c:idx val="25"/>
              <c:layout>
                <c:manualLayout>
                  <c:x val="-1.32772737331268E-2"/>
                  <c:y val="-3.4010057596788456E-17"/>
                </c:manualLayout>
              </c:layout>
              <c:showVal val="1"/>
              <c:extLst>
                <c:ext xmlns:c15="http://schemas.microsoft.com/office/drawing/2012/chart" uri="{CE6537A1-D6FC-4f65-9D91-7224C49458BB}"/>
              </c:extLst>
            </c:dLbl>
            <c:dLbl>
              <c:idx val="26"/>
              <c:layout>
                <c:manualLayout>
                  <c:x val="-1.3277273733126716E-2"/>
                  <c:y val="0"/>
                </c:manualLayout>
              </c:layout>
              <c:showVal val="1"/>
              <c:extLst>
                <c:ext xmlns:c15="http://schemas.microsoft.com/office/drawing/2012/chart" uri="{CE6537A1-D6FC-4f65-9D91-7224C49458BB}"/>
              </c:extLst>
            </c:dLbl>
            <c:dLbl>
              <c:idx val="27"/>
              <c:layout>
                <c:manualLayout>
                  <c:x val="-1.327727373312688E-2"/>
                  <c:y val="0"/>
                </c:manualLayout>
              </c:layout>
              <c:showVal val="1"/>
              <c:extLst>
                <c:ext xmlns:c15="http://schemas.microsoft.com/office/drawing/2012/chart" uri="{CE6537A1-D6FC-4f65-9D91-7224C49458BB}"/>
              </c:extLst>
            </c:dLbl>
            <c:dLbl>
              <c:idx val="28"/>
              <c:layout>
                <c:manualLayout>
                  <c:x val="-1.770303164416907E-2"/>
                  <c:y val="-1.7005028798394234E-17"/>
                </c:manualLayout>
              </c:layout>
              <c:showVal val="1"/>
              <c:extLst>
                <c:ext xmlns:c15="http://schemas.microsoft.com/office/drawing/2012/chart" uri="{CE6537A1-D6FC-4f65-9D91-7224C49458BB}"/>
              </c:extLst>
            </c:dLbl>
            <c:dLbl>
              <c:idx val="29"/>
              <c:layout>
                <c:manualLayout>
                  <c:x val="-1.770303164416907E-2"/>
                  <c:y val="-1.7005028798394234E-17"/>
                </c:manualLayout>
              </c:layout>
              <c:showVal val="1"/>
              <c:extLst>
                <c:ext xmlns:c15="http://schemas.microsoft.com/office/drawing/2012/chart" uri="{CE6537A1-D6FC-4f65-9D91-7224C49458BB}"/>
              </c:extLst>
            </c:dLbl>
            <c:dLbl>
              <c:idx val="30"/>
              <c:showVal val="1"/>
              <c:extLst>
                <c:ext xmlns:c15="http://schemas.microsoft.com/office/drawing/2012/chart" uri="{CE6537A1-D6FC-4f65-9D91-7224C49458BB}"/>
              </c:extLst>
            </c:dLbl>
            <c:delete val="1"/>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'Region sysselsatte'!$B$2:$C$32</c:f>
              <c:multiLvlStrCache>
                <c:ptCount val="31"/>
                <c:lvl>
                  <c:pt idx="0">
                    <c:v>Fjellregionen</c:v>
                  </c:pt>
                  <c:pt idx="1">
                    <c:v>Valdres</c:v>
                  </c:pt>
                  <c:pt idx="2">
                    <c:v>Hallingdal</c:v>
                  </c:pt>
                  <c:pt idx="3">
                    <c:v>Ringerike/Hole</c:v>
                  </c:pt>
                  <c:pt idx="4">
                    <c:v>Indre Østfold</c:v>
                  </c:pt>
                  <c:pt idx="5">
                    <c:v>Hadeland</c:v>
                  </c:pt>
                  <c:pt idx="6">
                    <c:v>Follo</c:v>
                  </c:pt>
                  <c:pt idx="7">
                    <c:v>Midt-Buskerud</c:v>
                  </c:pt>
                  <c:pt idx="8">
                    <c:v>Øst-Telemark</c:v>
                  </c:pt>
                  <c:pt idx="9">
                    <c:v>Lillehammerregionen</c:v>
                  </c:pt>
                  <c:pt idx="10">
                    <c:v>Hamarregionen</c:v>
                  </c:pt>
                  <c:pt idx="11">
                    <c:v>Vest-Telemark</c:v>
                  </c:pt>
                  <c:pt idx="12">
                    <c:v>Midt-Gudbrandsdal</c:v>
                  </c:pt>
                  <c:pt idx="13">
                    <c:v>Sør Østerdal</c:v>
                  </c:pt>
                  <c:pt idx="14">
                    <c:v>Nord-Gudbrandsdal</c:v>
                  </c:pt>
                  <c:pt idx="15">
                    <c:v>Oslo</c:v>
                  </c:pt>
                  <c:pt idx="16">
                    <c:v>Grenland</c:v>
                  </c:pt>
                  <c:pt idx="17">
                    <c:v>Drammensregionen</c:v>
                  </c:pt>
                  <c:pt idx="18">
                    <c:v>Nedre Glomma</c:v>
                  </c:pt>
                  <c:pt idx="19">
                    <c:v>Nedre Romerike</c:v>
                  </c:pt>
                  <c:pt idx="20">
                    <c:v>Glåmdal</c:v>
                  </c:pt>
                  <c:pt idx="21">
                    <c:v>Midt-Telemark</c:v>
                  </c:pt>
                  <c:pt idx="22">
                    <c:v>Mosseregionen</c:v>
                  </c:pt>
                  <c:pt idx="23">
                    <c:v>Øvre Romerike</c:v>
                  </c:pt>
                  <c:pt idx="24">
                    <c:v>Tønsbergregionen</c:v>
                  </c:pt>
                  <c:pt idx="25">
                    <c:v>Gjøvikregionen</c:v>
                  </c:pt>
                  <c:pt idx="26">
                    <c:v>Sandefjord/Larvik</c:v>
                  </c:pt>
                  <c:pt idx="27">
                    <c:v>Vestviken</c:v>
                  </c:pt>
                  <c:pt idx="28">
                    <c:v>Akershus Vest</c:v>
                  </c:pt>
                  <c:pt idx="29">
                    <c:v>Halden</c:v>
                  </c:pt>
                  <c:pt idx="30">
                    <c:v>Kongsberg/Numedal</c:v>
                  </c:pt>
                </c:lvl>
                <c:lvl>
                  <c:pt idx="0">
                    <c:v>82</c:v>
                  </c:pt>
                  <c:pt idx="1">
                    <c:v>80</c:v>
                  </c:pt>
                  <c:pt idx="2">
                    <c:v>79</c:v>
                  </c:pt>
                  <c:pt idx="3">
                    <c:v>78</c:v>
                  </c:pt>
                  <c:pt idx="4">
                    <c:v>77</c:v>
                  </c:pt>
                  <c:pt idx="5">
                    <c:v>73</c:v>
                  </c:pt>
                  <c:pt idx="6">
                    <c:v>72</c:v>
                  </c:pt>
                  <c:pt idx="7">
                    <c:v>71</c:v>
                  </c:pt>
                  <c:pt idx="8">
                    <c:v>70</c:v>
                  </c:pt>
                  <c:pt idx="9">
                    <c:v>68</c:v>
                  </c:pt>
                  <c:pt idx="10">
                    <c:v>67</c:v>
                  </c:pt>
                  <c:pt idx="11">
                    <c:v>66</c:v>
                  </c:pt>
                  <c:pt idx="12">
                    <c:v>65</c:v>
                  </c:pt>
                  <c:pt idx="13">
                    <c:v>63</c:v>
                  </c:pt>
                  <c:pt idx="14">
                    <c:v>59</c:v>
                  </c:pt>
                  <c:pt idx="15">
                    <c:v>57</c:v>
                  </c:pt>
                  <c:pt idx="16">
                    <c:v>56</c:v>
                  </c:pt>
                  <c:pt idx="17">
                    <c:v>55</c:v>
                  </c:pt>
                  <c:pt idx="18">
                    <c:v>53</c:v>
                  </c:pt>
                  <c:pt idx="19">
                    <c:v>52</c:v>
                  </c:pt>
                  <c:pt idx="20">
                    <c:v>51</c:v>
                  </c:pt>
                  <c:pt idx="21">
                    <c:v>43</c:v>
                  </c:pt>
                  <c:pt idx="22">
                    <c:v>40</c:v>
                  </c:pt>
                  <c:pt idx="23">
                    <c:v>30</c:v>
                  </c:pt>
                  <c:pt idx="24">
                    <c:v>26</c:v>
                  </c:pt>
                  <c:pt idx="25">
                    <c:v>24</c:v>
                  </c:pt>
                  <c:pt idx="26">
                    <c:v>20</c:v>
                  </c:pt>
                  <c:pt idx="27">
                    <c:v>10</c:v>
                  </c:pt>
                  <c:pt idx="28">
                    <c:v>8</c:v>
                  </c:pt>
                  <c:pt idx="29">
                    <c:v>3</c:v>
                  </c:pt>
                  <c:pt idx="30">
                    <c:v>1</c:v>
                  </c:pt>
                </c:lvl>
              </c:multiLvlStrCache>
            </c:multiLvlStrRef>
          </c:cat>
          <c:val>
            <c:numRef>
              <c:f>'Region sysselsatte'!$E$2:$E$32</c:f>
              <c:numCache>
                <c:formatCode>0.0</c:formatCode>
                <c:ptCount val="31"/>
                <c:pt idx="0">
                  <c:v>0</c:v>
                </c:pt>
                <c:pt idx="1">
                  <c:v>0</c:v>
                </c:pt>
                <c:pt idx="2">
                  <c:v>0</c:v>
                </c:pt>
                <c:pt idx="3">
                  <c:v>0</c:v>
                </c:pt>
                <c:pt idx="4">
                  <c:v>0.31377470975839361</c:v>
                </c:pt>
                <c:pt idx="5">
                  <c:v>0</c:v>
                </c:pt>
                <c:pt idx="6">
                  <c:v>1.2662851576768541</c:v>
                </c:pt>
                <c:pt idx="7">
                  <c:v>5.6158264199106576</c:v>
                </c:pt>
                <c:pt idx="8">
                  <c:v>5.114254624591946</c:v>
                </c:pt>
                <c:pt idx="9">
                  <c:v>3.2661570535093816</c:v>
                </c:pt>
                <c:pt idx="10">
                  <c:v>1.2739726027397258</c:v>
                </c:pt>
                <c:pt idx="11">
                  <c:v>2.9562982005141381</c:v>
                </c:pt>
                <c:pt idx="12">
                  <c:v>5.1703877790834305</c:v>
                </c:pt>
                <c:pt idx="13">
                  <c:v>0</c:v>
                </c:pt>
                <c:pt idx="14">
                  <c:v>9.2326139088729011</c:v>
                </c:pt>
                <c:pt idx="15">
                  <c:v>5.4564962401913091</c:v>
                </c:pt>
                <c:pt idx="16">
                  <c:v>2.7358305550107866</c:v>
                </c:pt>
                <c:pt idx="17">
                  <c:v>7.7140989322292421</c:v>
                </c:pt>
                <c:pt idx="18">
                  <c:v>9.3939142691319155</c:v>
                </c:pt>
                <c:pt idx="19">
                  <c:v>2.2954767818168142</c:v>
                </c:pt>
                <c:pt idx="20">
                  <c:v>2.3584905660377369</c:v>
                </c:pt>
                <c:pt idx="21">
                  <c:v>3.5182679296346397</c:v>
                </c:pt>
                <c:pt idx="22">
                  <c:v>6.2466631073144727</c:v>
                </c:pt>
                <c:pt idx="23">
                  <c:v>3.0718431058635174</c:v>
                </c:pt>
                <c:pt idx="24">
                  <c:v>18.160084154155111</c:v>
                </c:pt>
                <c:pt idx="25">
                  <c:v>17.374026386901917</c:v>
                </c:pt>
                <c:pt idx="26">
                  <c:v>17.838557424664174</c:v>
                </c:pt>
                <c:pt idx="27">
                  <c:v>17.260027039206843</c:v>
                </c:pt>
                <c:pt idx="28">
                  <c:v>18.722494656104612</c:v>
                </c:pt>
                <c:pt idx="29">
                  <c:v>17.164179104477611</c:v>
                </c:pt>
                <c:pt idx="30">
                  <c:v>42.24</c:v>
                </c:pt>
              </c:numCache>
            </c:numRef>
          </c:val>
        </c:ser>
        <c:gapWidth val="30"/>
        <c:overlap val="100"/>
        <c:axId val="258769664"/>
        <c:axId val="258771200"/>
      </c:barChart>
      <c:catAx>
        <c:axId val="25876966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771200"/>
        <c:crosses val="autoZero"/>
        <c:auto val="1"/>
        <c:lblAlgn val="ctr"/>
        <c:lblOffset val="100"/>
      </c:catAx>
      <c:valAx>
        <c:axId val="25877120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tickLblPos val="none"/>
        <c:crossAx val="25876966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plotArea>
      <c:layout>
        <c:manualLayout>
          <c:layoutTarget val="inner"/>
          <c:xMode val="edge"/>
          <c:yMode val="edge"/>
          <c:x val="9.8658662142370443E-2"/>
          <c:y val="7.1885698390961997E-2"/>
          <c:w val="0.82424200183651541"/>
          <c:h val="0.77132057787999675"/>
        </c:manualLayout>
      </c:layout>
      <c:lineChart>
        <c:grouping val="standard"/>
        <c:ser>
          <c:idx val="2"/>
          <c:order val="0"/>
          <c:tx>
            <c:strRef>
              <c:f>'Frek reg'!$B$84</c:f>
              <c:strCache>
                <c:ptCount val="1"/>
                <c:pt idx="0">
                  <c:v>Norge</c:v>
                </c:pt>
              </c:strCache>
            </c:strRef>
          </c:tx>
          <c:spPr>
            <a:ln>
              <a:solidFill>
                <a:sysClr val="window" lastClr="FFFFFF">
                  <a:lumMod val="50000"/>
                </a:sysClr>
              </a:solidFill>
            </a:ln>
          </c:spPr>
          <c:marker>
            <c:symbol val="square"/>
            <c:size val="7"/>
            <c:spPr>
              <a:solidFill>
                <a:sysClr val="window" lastClr="FFFFFF">
                  <a:lumMod val="50000"/>
                </a:sysClr>
              </a:solidFill>
              <a:ln>
                <a:noFill/>
              </a:ln>
            </c:spPr>
          </c:marker>
          <c:dLbls>
            <c:dLbl>
              <c:idx val="12"/>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1"/>
              </c:ext>
            </c:extLst>
          </c:dLbls>
          <c:cat>
            <c:numRef>
              <c:f>'Frek reg'!$D$1:$P$1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'Frek reg'!$D$84:$P$84</c:f>
              <c:numCache>
                <c:formatCode>0.0</c:formatCode>
                <c:ptCount val="13"/>
                <c:pt idx="0">
                  <c:v>8.3731491826470261</c:v>
                </c:pt>
                <c:pt idx="1">
                  <c:v>8.7844897358546135</c:v>
                </c:pt>
                <c:pt idx="2">
                  <c:v>8.0024127700957202</c:v>
                </c:pt>
                <c:pt idx="3">
                  <c:v>8.194553556916075</c:v>
                </c:pt>
                <c:pt idx="4">
                  <c:v>8.8083095600974382</c:v>
                </c:pt>
                <c:pt idx="5">
                  <c:v>9.1309651470411968</c:v>
                </c:pt>
                <c:pt idx="6">
                  <c:v>8.2423784578408785</c:v>
                </c:pt>
                <c:pt idx="7">
                  <c:v>7.4363423896346612</c:v>
                </c:pt>
                <c:pt idx="8">
                  <c:v>6.4215353329126792</c:v>
                </c:pt>
                <c:pt idx="9">
                  <c:v>6.7920418277928611</c:v>
                </c:pt>
                <c:pt idx="10">
                  <c:v>7.0161682556019107</c:v>
                </c:pt>
                <c:pt idx="11">
                  <c:v>7.0788713181783027</c:v>
                </c:pt>
                <c:pt idx="12">
                  <c:v>7.0946061400011393</c:v>
                </c:pt>
              </c:numCache>
            </c:numRef>
          </c:val>
        </c:ser>
        <c:ser>
          <c:idx val="0"/>
          <c:order val="1"/>
          <c:tx>
            <c:strRef>
              <c:f>'Frek reg'!$B$83</c:f>
              <c:strCache>
                <c:ptCount val="1"/>
                <c:pt idx="0">
                  <c:v>Medianregion</c:v>
                </c:pt>
              </c:strCache>
            </c:strRef>
          </c:tx>
          <c:spPr>
            <a:ln w="28575">
              <a:solidFill>
                <a:srgbClr val="0070C0"/>
              </a:solidFill>
            </a:ln>
          </c:spPr>
          <c:marker>
            <c:symbol val="square"/>
            <c:size val="5"/>
          </c:marker>
          <c:dLbls>
            <c:dLbl>
              <c:idx val="12"/>
              <c:layout>
                <c:manualLayout>
                  <c:x val="-1.6227591544632731E-16"/>
                  <c:y val="-4.1764552336204644E-2"/>
                </c:manualLayout>
              </c:layout>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1"/>
              </c:ext>
            </c:extLst>
          </c:dLbls>
          <c:cat>
            <c:numRef>
              <c:f>'Frek reg'!$D$1:$P$1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'Frek reg'!$D$83:$P$83</c:f>
              <c:numCache>
                <c:formatCode>0.0</c:formatCode>
                <c:ptCount val="13"/>
                <c:pt idx="0">
                  <c:v>6.8180625765469083</c:v>
                </c:pt>
                <c:pt idx="1">
                  <c:v>7.4718740518062825</c:v>
                </c:pt>
                <c:pt idx="2">
                  <c:v>6.7545206013331116</c:v>
                </c:pt>
                <c:pt idx="3">
                  <c:v>6.7258689106015783</c:v>
                </c:pt>
                <c:pt idx="4">
                  <c:v>6.928443587775881</c:v>
                </c:pt>
                <c:pt idx="5">
                  <c:v>7.1629496077589092</c:v>
                </c:pt>
                <c:pt idx="6">
                  <c:v>6.7171344506904394</c:v>
                </c:pt>
                <c:pt idx="7">
                  <c:v>6.1487191876700624</c:v>
                </c:pt>
                <c:pt idx="8">
                  <c:v>5.1159065577074863</c:v>
                </c:pt>
                <c:pt idx="9">
                  <c:v>5.2245332149919381</c:v>
                </c:pt>
                <c:pt idx="10">
                  <c:v>5.5503961354570697</c:v>
                </c:pt>
                <c:pt idx="11">
                  <c:v>5.9825708824081918</c:v>
                </c:pt>
                <c:pt idx="12">
                  <c:v>5.8781972566236895</c:v>
                </c:pt>
              </c:numCache>
            </c:numRef>
          </c:val>
        </c:ser>
        <c:ser>
          <c:idx val="1"/>
          <c:order val="2"/>
          <c:tx>
            <c:strRef>
              <c:f>'Frek reg'!$B$11</c:f>
              <c:strCache>
                <c:ptCount val="1"/>
                <c:pt idx="0">
                  <c:v>Glåmdal</c:v>
                </c:pt>
              </c:strCache>
            </c:strRef>
          </c:tx>
          <c:spPr>
            <a:ln w="28575"/>
          </c:spPr>
          <c:marker>
            <c:symbol val="square"/>
            <c:size val="5"/>
          </c:marker>
          <c:dLbls>
            <c:dLbl>
              <c:idx val="12"/>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1"/>
              </c:ext>
            </c:extLst>
          </c:dLbls>
          <c:cat>
            <c:numRef>
              <c:f>'Frek reg'!$D$1:$P$1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'Frek reg'!$D$11:$P$11</c:f>
              <c:numCache>
                <c:formatCode>0.0</c:formatCode>
                <c:ptCount val="13"/>
                <c:pt idx="0">
                  <c:v>5.7603092783505145</c:v>
                </c:pt>
                <c:pt idx="1">
                  <c:v>6.3813719320327271</c:v>
                </c:pt>
                <c:pt idx="2">
                  <c:v>5.7600587012351721</c:v>
                </c:pt>
                <c:pt idx="3">
                  <c:v>5.3641673620216945</c:v>
                </c:pt>
                <c:pt idx="4">
                  <c:v>5.8878834175578785</c:v>
                </c:pt>
                <c:pt idx="5">
                  <c:v>5.9418173649331711</c:v>
                </c:pt>
                <c:pt idx="6">
                  <c:v>5.5501035873950482</c:v>
                </c:pt>
                <c:pt idx="7">
                  <c:v>5.2015743006063175</c:v>
                </c:pt>
                <c:pt idx="8">
                  <c:v>3.9058637397409277</c:v>
                </c:pt>
                <c:pt idx="9">
                  <c:v>4.6206558981889359</c:v>
                </c:pt>
                <c:pt idx="10">
                  <c:v>4.5622209279751491</c:v>
                </c:pt>
                <c:pt idx="11">
                  <c:v>5.6179775280898845</c:v>
                </c:pt>
                <c:pt idx="12">
                  <c:v>5.6711661042369714</c:v>
                </c:pt>
              </c:numCache>
            </c:numRef>
          </c:val>
        </c:ser>
        <c:marker val="1"/>
        <c:axId val="258949504"/>
        <c:axId val="258951040"/>
      </c:lineChart>
      <c:catAx>
        <c:axId val="258949504"/>
        <c:scaling>
          <c:orientation val="minMax"/>
        </c:scaling>
        <c:axPos val="b"/>
        <c:numFmt formatCode="General" sourceLinked="1"/>
        <c:tickLblPos val="nextTo"/>
        <c:txPr>
          <a:bodyPr rot="5400000" vert="horz"/>
          <a:lstStyle/>
          <a:p>
            <a:pPr>
              <a:defRPr sz="900"/>
            </a:pPr>
            <a:endParaRPr lang="nb-NO"/>
          </a:p>
        </c:txPr>
        <c:crossAx val="258951040"/>
        <c:crosses val="autoZero"/>
        <c:auto val="1"/>
        <c:lblAlgn val="ctr"/>
        <c:lblOffset val="100"/>
      </c:catAx>
      <c:valAx>
        <c:axId val="258951040"/>
        <c:scaling>
          <c:orientation val="minMax"/>
          <c:min val="3"/>
        </c:scaling>
        <c:axPos val="l"/>
        <c:majorGridlines>
          <c:spPr>
            <a:ln>
              <a:solidFill>
                <a:schemeClr val="accent1">
                  <a:lumMod val="20000"/>
                  <a:lumOff val="80000"/>
                </a:schemeClr>
              </a:solidFill>
            </a:ln>
          </c:spPr>
        </c:majorGridlines>
        <c:numFmt formatCode="0" sourceLinked="0"/>
        <c:tickLblPos val="nextTo"/>
        <c:crossAx val="258949504"/>
        <c:crosses val="autoZero"/>
        <c:crossBetween val="between"/>
        <c:majorUnit val="1"/>
      </c:valAx>
    </c:plotArea>
    <c:legend>
      <c:legendPos val="r"/>
      <c:layout>
        <c:manualLayout>
          <c:xMode val="edge"/>
          <c:yMode val="edge"/>
          <c:x val="0.44074868490520341"/>
          <c:y val="1.1657680018258797E-3"/>
          <c:w val="0.5526409055030993"/>
          <c:h val="0.17537337384457372"/>
        </c:manualLayout>
      </c:layout>
    </c:legend>
    <c:plotVisOnly val="1"/>
    <c:dispBlanksAs val="gap"/>
  </c:chart>
  <c:spPr>
    <a:ln>
      <a:noFill/>
    </a:ln>
  </c:spPr>
  <c:txPr>
    <a:bodyPr/>
    <a:lstStyle/>
    <a:p>
      <a:pPr>
        <a:defRPr>
          <a:latin typeface="Arial" pitchFamily="34" charset="0"/>
          <a:cs typeface="Arial" pitchFamily="34" charset="0"/>
        </a:defRPr>
      </a:pPr>
      <a:endParaRPr lang="nb-NO"/>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pivotSource>
    <c:name>[Glåmdal grunnmur.xlsx]Arb indeks fylker !Arbeidsplassvekst indeks</c:name>
    <c:fmtId val="44"/>
  </c:pivotSource>
  <c:chart>
    <c:pivotFmts>
      <c:pivotFmt>
        <c:idx val="0"/>
        <c:spPr>
          <a:solidFill>
            <a:schemeClr val="accent1"/>
          </a:solidFill>
          <a:ln w="28575" cap="rnd">
            <a:solidFill>
              <a:sysClr val="windowText" lastClr="000000"/>
            </a:solidFill>
            <a:prstDash val="sysDot"/>
            <a:round/>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layout>
            <c:manualLayout>
              <c:x val="0"/>
              <c:y val="-2.75624461670973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4"/>
        <c:spPr>
          <a:solidFill>
            <a:schemeClr val="accent1"/>
          </a:solidFill>
          <a:ln w="28575" cap="rnd">
            <a:solidFill>
              <a:sysClr val="windowText" lastClr="000000"/>
            </a:solidFill>
            <a:prstDash val="sysDot"/>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5"/>
        <c:spPr>
          <a:solidFill>
            <a:schemeClr val="accent1"/>
          </a:solidFill>
          <a:ln w="28575" cap="rnd">
            <a:solidFill>
              <a:schemeClr val="accent6"/>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w="28575" cap="rnd">
            <a:solidFill>
              <a:schemeClr val="accent1"/>
            </a:solidFill>
            <a:round/>
          </a:ln>
          <a:effectLst/>
        </c:spPr>
        <c:marker>
          <c:symbol val="none"/>
        </c:marker>
      </c:pivotFmt>
      <c:pivotFmt>
        <c:idx val="11"/>
        <c:spPr>
          <a:solidFill>
            <a:schemeClr val="accent1"/>
          </a:solidFill>
          <a:ln w="28575" cap="rnd">
            <a:solidFill>
              <a:schemeClr val="accent1"/>
            </a:solidFill>
            <a:round/>
          </a:ln>
          <a:effectLst/>
        </c:spPr>
        <c:marker>
          <c:symbol val="none"/>
        </c:marker>
      </c:pivotFmt>
      <c:pivotFmt>
        <c:idx val="12"/>
        <c:spPr>
          <a:solidFill>
            <a:schemeClr val="accent1"/>
          </a:solidFill>
          <a:ln w="28575" cap="rnd">
            <a:solidFill>
              <a:schemeClr val="accent1"/>
            </a:solidFill>
            <a:round/>
          </a:ln>
          <a:effectLst/>
        </c:spPr>
        <c:marker>
          <c:symbol val="none"/>
        </c:marker>
      </c:pivotFmt>
      <c:pivotFmt>
        <c:idx val="13"/>
        <c:spPr>
          <a:solidFill>
            <a:schemeClr val="accent1"/>
          </a:solidFill>
          <a:ln w="28575" cap="rnd">
            <a:solidFill>
              <a:schemeClr val="accent1"/>
            </a:solidFill>
            <a:round/>
          </a:ln>
          <a:effectLst/>
        </c:spPr>
        <c:marker>
          <c:symbol val="none"/>
        </c:marker>
      </c:pivotFmt>
      <c:pivotFmt>
        <c:idx val="14"/>
        <c:spPr>
          <a:solidFill>
            <a:schemeClr val="accent1"/>
          </a:solidFill>
          <a:ln w="28575" cap="rnd">
            <a:solidFill>
              <a:schemeClr val="accent1"/>
            </a:solidFill>
            <a:round/>
          </a:ln>
          <a:effectLst/>
        </c:spPr>
        <c:marker>
          <c:symbol val="none"/>
        </c:marker>
      </c:pivotFmt>
      <c:pivotFmt>
        <c:idx val="15"/>
        <c:spPr>
          <a:solidFill>
            <a:schemeClr val="accent1"/>
          </a:solidFill>
          <a:ln w="28575" cap="rnd">
            <a:solidFill>
              <a:schemeClr val="accent1"/>
            </a:solidFill>
            <a:round/>
          </a:ln>
          <a:effectLst/>
        </c:spPr>
        <c:marker>
          <c:symbol val="none"/>
        </c:marker>
      </c:pivotFmt>
      <c:pivotFmt>
        <c:idx val="16"/>
        <c:spPr>
          <a:solidFill>
            <a:schemeClr val="accent1"/>
          </a:solidFill>
          <a:ln w="28575" cap="rnd">
            <a:solidFill>
              <a:schemeClr val="accent1"/>
            </a:solidFill>
            <a:round/>
          </a:ln>
          <a:effectLst/>
        </c:spPr>
        <c:marker>
          <c:symbol val="none"/>
        </c:marker>
      </c:pivotFmt>
      <c:pivotFmt>
        <c:idx val="17"/>
        <c:spPr>
          <a:solidFill>
            <a:schemeClr val="accent1"/>
          </a:solidFill>
          <a:ln w="28575" cap="rnd">
            <a:solidFill>
              <a:schemeClr val="accent1"/>
            </a:solidFill>
            <a:round/>
          </a:ln>
          <a:effectLst/>
        </c:spPr>
        <c:marker>
          <c:symbol val="none"/>
        </c:marker>
      </c:pivotFmt>
      <c:pivotFmt>
        <c:idx val="18"/>
        <c:spPr>
          <a:solidFill>
            <a:schemeClr val="accent1"/>
          </a:solidFill>
          <a:ln w="28575" cap="rnd">
            <a:solidFill>
              <a:schemeClr val="accent1"/>
            </a:solidFill>
            <a:round/>
          </a:ln>
          <a:effectLst/>
        </c:spPr>
        <c:marker>
          <c:symbol val="none"/>
        </c:marker>
      </c:pivotFmt>
      <c:pivotFmt>
        <c:idx val="19"/>
        <c:spPr>
          <a:solidFill>
            <a:schemeClr val="accent1"/>
          </a:solidFill>
          <a:ln w="28575" cap="rnd">
            <a:solidFill>
              <a:schemeClr val="accent1"/>
            </a:solidFill>
            <a:round/>
          </a:ln>
          <a:effectLst/>
        </c:spPr>
        <c:marker>
          <c:symbol val="none"/>
        </c:marker>
      </c:pivotFmt>
      <c:pivotFmt>
        <c:idx val="20"/>
        <c:spPr>
          <a:solidFill>
            <a:schemeClr val="accent1"/>
          </a:solidFill>
          <a:ln w="28575" cap="rnd">
            <a:solidFill>
              <a:schemeClr val="accent1"/>
            </a:solidFill>
            <a:round/>
          </a:ln>
          <a:effectLst/>
        </c:spPr>
        <c:marker>
          <c:symbol val="none"/>
        </c:marker>
      </c:pivotFmt>
      <c:pivotFmt>
        <c:idx val="21"/>
        <c:spPr>
          <a:solidFill>
            <a:schemeClr val="accent1"/>
          </a:solidFill>
          <a:ln w="28575" cap="rnd">
            <a:solidFill>
              <a:schemeClr val="accent1"/>
            </a:solidFill>
            <a:round/>
          </a:ln>
          <a:effectLst/>
        </c:spPr>
        <c:marker>
          <c:symbol val="none"/>
        </c:marker>
      </c:pivotFmt>
      <c:pivotFmt>
        <c:idx val="22"/>
        <c:spPr>
          <a:solidFill>
            <a:schemeClr val="accent1"/>
          </a:solidFill>
          <a:ln w="28575" cap="rnd">
            <a:solidFill>
              <a:schemeClr val="accent1"/>
            </a:solidFill>
            <a:round/>
          </a:ln>
          <a:effectLst/>
        </c:spPr>
        <c:marker>
          <c:symbol val="none"/>
        </c:marker>
      </c:pivotFmt>
      <c:pivotFmt>
        <c:idx val="23"/>
        <c:spPr>
          <a:solidFill>
            <a:schemeClr val="accent1"/>
          </a:solidFill>
          <a:ln w="28575" cap="rnd">
            <a:solidFill>
              <a:schemeClr val="accent1"/>
            </a:solidFill>
            <a:round/>
          </a:ln>
          <a:effectLst/>
        </c:spPr>
        <c:marker>
          <c:symbol val="none"/>
        </c:marker>
      </c:pivotFmt>
      <c:pivotFmt>
        <c:idx val="24"/>
        <c:spPr>
          <a:solidFill>
            <a:schemeClr val="accent1"/>
          </a:solidFill>
          <a:ln w="28575" cap="rnd">
            <a:solidFill>
              <a:schemeClr val="accent1"/>
            </a:solidFill>
            <a:round/>
          </a:ln>
          <a:effectLst/>
        </c:spPr>
        <c:marker>
          <c:symbol val="none"/>
        </c:marker>
      </c:pivotFmt>
      <c:pivotFmt>
        <c:idx val="25"/>
        <c:spPr>
          <a:solidFill>
            <a:schemeClr val="accent1"/>
          </a:solidFill>
          <a:ln w="28575" cap="rnd">
            <a:solidFill>
              <a:schemeClr val="accent1"/>
            </a:solidFill>
            <a:round/>
          </a:ln>
          <a:effectLst/>
        </c:spPr>
        <c:marker>
          <c:symbol val="none"/>
        </c:marker>
      </c:pivotFmt>
      <c:pivotFmt>
        <c:idx val="2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pivotFmt>
      <c:pivotFmt>
        <c:idx val="28"/>
        <c:spPr>
          <a:solidFill>
            <a:schemeClr val="accent1"/>
          </a:solidFill>
          <a:ln w="28575" cap="rnd">
            <a:solidFill>
              <a:schemeClr val="accent1"/>
            </a:solidFill>
            <a:round/>
          </a:ln>
          <a:effectLst/>
        </c:spPr>
        <c:marker>
          <c:symbol val="none"/>
        </c:marker>
      </c:pivotFmt>
      <c:pivotFmt>
        <c:idx val="29"/>
        <c:spPr>
          <a:solidFill>
            <a:schemeClr val="accent1"/>
          </a:solidFill>
          <a:ln w="28575" cap="rnd">
            <a:solidFill>
              <a:schemeClr val="accent1"/>
            </a:solidFill>
            <a:round/>
          </a:ln>
          <a:effectLst/>
        </c:spPr>
        <c:marker>
          <c:symbol val="none"/>
        </c:marker>
      </c:pivotFmt>
      <c:pivotFmt>
        <c:idx val="30"/>
        <c:spPr>
          <a:solidFill>
            <a:schemeClr val="accent1"/>
          </a:solidFill>
          <a:ln w="28575" cap="rnd">
            <a:solidFill>
              <a:schemeClr val="accent1"/>
            </a:solidFill>
            <a:round/>
          </a:ln>
          <a:effectLst/>
        </c:spPr>
        <c:marker>
          <c:symbol val="none"/>
        </c:marker>
      </c:pivotFmt>
      <c:pivotFmt>
        <c:idx val="31"/>
        <c:spPr>
          <a:solidFill>
            <a:schemeClr val="accent1"/>
          </a:solidFill>
          <a:ln w="28575" cap="rnd">
            <a:solidFill>
              <a:schemeClr val="accent1"/>
            </a:solidFill>
            <a:round/>
          </a:ln>
          <a:effectLst/>
        </c:spPr>
        <c:marker>
          <c:symbol val="none"/>
        </c:marker>
      </c:pivotFmt>
      <c:pivotFmt>
        <c:idx val="32"/>
        <c:spPr>
          <a:solidFill>
            <a:schemeClr val="accent1"/>
          </a:solidFill>
          <a:ln w="28575" cap="rnd">
            <a:solidFill>
              <a:schemeClr val="accent1"/>
            </a:solidFill>
            <a:round/>
          </a:ln>
          <a:effectLst/>
        </c:spPr>
        <c:marker>
          <c:symbol val="none"/>
        </c:marker>
      </c:pivotFmt>
      <c:pivotFmt>
        <c:idx val="33"/>
        <c:spPr>
          <a:solidFill>
            <a:schemeClr val="accent1"/>
          </a:solidFill>
          <a:ln w="28575" cap="rnd">
            <a:solidFill>
              <a:schemeClr val="accent1"/>
            </a:solidFill>
            <a:round/>
          </a:ln>
          <a:effectLst/>
        </c:spPr>
        <c:marker>
          <c:symbol val="none"/>
        </c:marker>
      </c:pivotFmt>
      <c:pivotFmt>
        <c:idx val="34"/>
        <c:spPr>
          <a:solidFill>
            <a:schemeClr val="accent1"/>
          </a:solidFill>
          <a:ln w="28575" cap="rnd">
            <a:solidFill>
              <a:schemeClr val="accent1"/>
            </a:solidFill>
            <a:round/>
          </a:ln>
          <a:effectLst/>
        </c:spPr>
        <c:marker>
          <c:symbol val="none"/>
        </c:marker>
      </c:pivotFmt>
      <c:pivotFmt>
        <c:idx val="35"/>
        <c:spPr>
          <a:solidFill>
            <a:schemeClr val="accent1"/>
          </a:solidFill>
          <a:ln w="28575" cap="rnd">
            <a:solidFill>
              <a:schemeClr val="accent1"/>
            </a:solidFill>
            <a:round/>
          </a:ln>
          <a:effectLst/>
        </c:spPr>
        <c:marker>
          <c:symbol val="none"/>
        </c:marker>
      </c:pivotFmt>
      <c:pivotFmt>
        <c:idx val="36"/>
        <c:spPr>
          <a:solidFill>
            <a:schemeClr val="accent1"/>
          </a:solidFill>
          <a:ln w="28575" cap="rnd">
            <a:solidFill>
              <a:schemeClr val="accent1"/>
            </a:solidFill>
            <a:round/>
          </a:ln>
          <a:effectLst/>
        </c:spPr>
        <c:marker>
          <c:symbol val="none"/>
        </c:marker>
      </c:pivotFmt>
      <c:pivotFmt>
        <c:idx val="37"/>
        <c:spPr>
          <a:solidFill>
            <a:schemeClr val="accent1"/>
          </a:solidFill>
          <a:ln w="28575" cap="rnd">
            <a:solidFill>
              <a:schemeClr val="accent6"/>
            </a:solidFill>
            <a:round/>
          </a:ln>
          <a:effectLst/>
        </c:spPr>
        <c:marker>
          <c:symbol val="none"/>
        </c:marker>
        <c:dLbl>
          <c:idx val="0"/>
          <c:delete val="1"/>
          <c:extLst>
            <c:ext xmlns:c15="http://schemas.microsoft.com/office/drawing/2012/chart" uri="{CE6537A1-D6FC-4f65-9D91-7224C49458BB}"/>
          </c:extLst>
        </c:dLbl>
      </c:pivotFmt>
      <c:pivotFmt>
        <c:idx val="38"/>
        <c:spPr>
          <a:solidFill>
            <a:schemeClr val="accent1"/>
          </a:solidFill>
          <a:ln w="28575" cap="rnd">
            <a:solidFill>
              <a:schemeClr val="accent1"/>
            </a:solidFill>
            <a:round/>
          </a:ln>
          <a:effectLst/>
        </c:spPr>
        <c:marker>
          <c:symbol val="none"/>
        </c:marker>
      </c:pivotFmt>
      <c:pivotFmt>
        <c:idx val="39"/>
        <c:spPr>
          <a:solidFill>
            <a:schemeClr val="accent1"/>
          </a:solidFill>
          <a:ln w="28575" cap="rnd">
            <a:solidFill>
              <a:schemeClr val="accent1"/>
            </a:solidFill>
            <a:round/>
          </a:ln>
          <a:effectLst/>
        </c:spPr>
        <c:marker>
          <c:symbol val="none"/>
        </c:marker>
      </c:pivotFmt>
      <c:pivotFmt>
        <c:idx val="40"/>
        <c:spPr>
          <a:solidFill>
            <a:schemeClr val="accent1"/>
          </a:solidFill>
          <a:ln w="28575" cap="rnd">
            <a:solidFill>
              <a:schemeClr val="accent1"/>
            </a:solidFill>
            <a:round/>
          </a:ln>
          <a:effectLst/>
        </c:spPr>
        <c:marker>
          <c:symbol val="none"/>
        </c:marker>
      </c:pivotFmt>
      <c:pivotFmt>
        <c:idx val="41"/>
        <c:spPr>
          <a:solidFill>
            <a:schemeClr val="accent1"/>
          </a:solidFill>
          <a:ln w="28575" cap="rnd">
            <a:solidFill>
              <a:schemeClr val="accent1"/>
            </a:solidFill>
            <a:round/>
          </a:ln>
          <a:effectLst/>
        </c:spPr>
        <c:marker>
          <c:symbol val="none"/>
        </c:marker>
      </c:pivotFmt>
      <c:pivotFmt>
        <c:idx val="42"/>
        <c:spPr>
          <a:solidFill>
            <a:schemeClr val="accent1"/>
          </a:solidFill>
          <a:ln w="28575" cap="rnd">
            <a:solidFill>
              <a:schemeClr val="accent1"/>
            </a:solidFill>
            <a:round/>
          </a:ln>
          <a:effectLst/>
        </c:spPr>
        <c:marker>
          <c:symbol val="none"/>
        </c:marker>
      </c:pivotFmt>
      <c:pivotFmt>
        <c:idx val="43"/>
        <c:spPr>
          <a:solidFill>
            <a:schemeClr val="accent1"/>
          </a:solidFill>
          <a:ln w="28575" cap="rnd">
            <a:solidFill>
              <a:schemeClr val="accent1"/>
            </a:solidFill>
            <a:round/>
          </a:ln>
          <a:effectLst/>
        </c:spPr>
        <c:marker>
          <c:symbol val="none"/>
        </c:marker>
      </c:pivotFmt>
      <c:pivotFmt>
        <c:idx val="44"/>
        <c:spPr>
          <a:solidFill>
            <a:schemeClr val="accent1"/>
          </a:solidFill>
          <a:ln w="28575" cap="rnd">
            <a:solidFill>
              <a:schemeClr val="accent1"/>
            </a:solidFill>
            <a:round/>
          </a:ln>
          <a:effectLst/>
        </c:spPr>
        <c:marker>
          <c:symbol val="none"/>
        </c:marker>
      </c:pivotFmt>
      <c:pivotFmt>
        <c:idx val="45"/>
        <c:spPr>
          <a:solidFill>
            <a:schemeClr val="accent1"/>
          </a:solidFill>
          <a:ln w="28575" cap="rnd">
            <a:solidFill>
              <a:schemeClr val="accent1"/>
            </a:solidFill>
            <a:round/>
          </a:ln>
          <a:effectLst/>
        </c:spPr>
        <c:marker>
          <c:symbol val="none"/>
        </c:marker>
      </c:pivotFmt>
      <c:pivotFmt>
        <c:idx val="4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7"/>
        <c:spPr>
          <a:solidFill>
            <a:schemeClr val="accent1"/>
          </a:solidFill>
          <a:ln w="28575" cap="rnd">
            <a:solidFill>
              <a:schemeClr val="accent6"/>
            </a:solidFill>
            <a:round/>
          </a:ln>
          <a:effectLst/>
        </c:spPr>
        <c:marker>
          <c:symbol val="none"/>
        </c:marker>
      </c:pivotFmt>
      <c:pivotFmt>
        <c:idx val="48"/>
        <c:spPr>
          <a:solidFill>
            <a:schemeClr val="accent1"/>
          </a:solidFill>
          <a:ln w="28575" cap="rnd">
            <a:solidFill>
              <a:schemeClr val="accent1"/>
            </a:solidFill>
            <a:round/>
          </a:ln>
          <a:effectLst/>
        </c:spPr>
        <c:marker>
          <c:symbol val="none"/>
        </c:marker>
      </c:pivotFmt>
      <c:pivotFmt>
        <c:idx val="49"/>
        <c:spPr>
          <a:solidFill>
            <a:schemeClr val="accent1"/>
          </a:solidFill>
          <a:ln w="28575" cap="rnd">
            <a:solidFill>
              <a:schemeClr val="accent1"/>
            </a:solidFill>
            <a:round/>
          </a:ln>
          <a:effectLst/>
        </c:spPr>
        <c:marker>
          <c:symbol val="none"/>
        </c:marker>
      </c:pivotFmt>
      <c:pivotFmt>
        <c:idx val="50"/>
        <c:spPr>
          <a:solidFill>
            <a:schemeClr val="accent1"/>
          </a:solidFill>
          <a:ln w="28575" cap="rnd">
            <a:solidFill>
              <a:schemeClr val="accent1"/>
            </a:solidFill>
            <a:round/>
          </a:ln>
          <a:effectLst/>
        </c:spPr>
        <c:marker>
          <c:symbol val="none"/>
        </c:marker>
      </c:pivotFmt>
      <c:pivotFmt>
        <c:idx val="51"/>
        <c:spPr>
          <a:solidFill>
            <a:schemeClr val="accent1"/>
          </a:solidFill>
          <a:ln w="28575" cap="rnd">
            <a:solidFill>
              <a:schemeClr val="accent1"/>
            </a:solidFill>
            <a:round/>
          </a:ln>
          <a:effectLst/>
        </c:spPr>
        <c:marker>
          <c:symbol val="none"/>
        </c:marker>
      </c:pivotFmt>
      <c:pivotFmt>
        <c:idx val="52"/>
        <c:spPr>
          <a:solidFill>
            <a:schemeClr val="accent1"/>
          </a:solidFill>
          <a:ln w="28575" cap="rnd">
            <a:solidFill>
              <a:schemeClr val="accent1"/>
            </a:solidFill>
            <a:round/>
          </a:ln>
          <a:effectLst/>
        </c:spPr>
        <c:marker>
          <c:symbol val="none"/>
        </c:marker>
      </c:pivotFmt>
      <c:pivotFmt>
        <c:idx val="53"/>
        <c:spPr>
          <a:solidFill>
            <a:schemeClr val="accent1"/>
          </a:solidFill>
          <a:ln w="28575" cap="rnd">
            <a:solidFill>
              <a:schemeClr val="accent1"/>
            </a:solidFill>
            <a:round/>
          </a:ln>
          <a:effectLst/>
        </c:spPr>
        <c:marker>
          <c:symbol val="none"/>
        </c:marker>
      </c:pivotFmt>
      <c:pivotFmt>
        <c:idx val="54"/>
        <c:spPr>
          <a:solidFill>
            <a:schemeClr val="accent1"/>
          </a:solidFill>
          <a:ln w="28575" cap="rnd">
            <a:solidFill>
              <a:schemeClr val="accent1"/>
            </a:solidFill>
            <a:round/>
          </a:ln>
          <a:effectLst/>
        </c:spPr>
        <c:marker>
          <c:symbol val="none"/>
        </c:marker>
      </c:pivotFmt>
      <c:pivotFmt>
        <c:idx val="55"/>
        <c:spPr>
          <a:solidFill>
            <a:schemeClr val="accent1"/>
          </a:solidFill>
          <a:ln w="28575" cap="rnd">
            <a:solidFill>
              <a:schemeClr val="accent1"/>
            </a:solidFill>
            <a:round/>
          </a:ln>
          <a:effectLst/>
        </c:spPr>
        <c:marker>
          <c:symbol val="none"/>
        </c:marker>
      </c:pivotFmt>
      <c:pivotFmt>
        <c:idx val="56"/>
        <c:spPr>
          <a:solidFill>
            <a:schemeClr val="accent1"/>
          </a:solidFill>
          <a:ln w="28575" cap="rnd">
            <a:solidFill>
              <a:schemeClr val="accent1"/>
            </a:solidFill>
            <a:round/>
          </a:ln>
          <a:effectLst/>
        </c:spPr>
        <c:marker>
          <c:symbol val="none"/>
        </c:marker>
      </c:pivotFmt>
      <c:pivotFmt>
        <c:idx val="57"/>
        <c:spPr>
          <a:solidFill>
            <a:schemeClr val="accent1"/>
          </a:solidFill>
          <a:ln w="28575" cap="rnd">
            <a:solidFill>
              <a:schemeClr val="accent1"/>
            </a:solidFill>
            <a:round/>
          </a:ln>
          <a:effectLst/>
        </c:spPr>
        <c:marker>
          <c:symbol val="none"/>
        </c:marker>
      </c:pivotFmt>
      <c:pivotFmt>
        <c:idx val="58"/>
        <c:spPr>
          <a:solidFill>
            <a:schemeClr val="accent1"/>
          </a:solidFill>
          <a:ln w="28575" cap="rnd">
            <a:solidFill>
              <a:schemeClr val="accent1"/>
            </a:solidFill>
            <a:round/>
          </a:ln>
          <a:effectLst/>
        </c:spPr>
        <c:marker>
          <c:symbol val="none"/>
        </c:marker>
      </c:pivotFmt>
      <c:pivotFmt>
        <c:idx val="59"/>
        <c:spPr>
          <a:solidFill>
            <a:schemeClr val="accent1"/>
          </a:solidFill>
          <a:ln w="28575" cap="rnd">
            <a:solidFill>
              <a:schemeClr val="accent1"/>
            </a:solidFill>
            <a:round/>
          </a:ln>
          <a:effectLst/>
        </c:spPr>
        <c:marker>
          <c:symbol val="none"/>
        </c:marker>
      </c:pivotFmt>
      <c:pivotFmt>
        <c:idx val="60"/>
        <c:spPr>
          <a:solidFill>
            <a:schemeClr val="accent1"/>
          </a:solidFill>
          <a:ln w="28575" cap="rnd">
            <a:solidFill>
              <a:schemeClr val="accent1"/>
            </a:solidFill>
            <a:round/>
          </a:ln>
          <a:effectLst/>
        </c:spPr>
        <c:marker>
          <c:symbol val="none"/>
        </c:marker>
      </c:pivotFmt>
      <c:pivotFmt>
        <c:idx val="61"/>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2"/>
        <c:spPr>
          <a:solidFill>
            <a:schemeClr val="accent1"/>
          </a:solidFill>
          <a:ln w="28575" cap="rnd">
            <a:solidFill>
              <a:schemeClr val="accent6"/>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4"/>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5"/>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66"/>
        <c:spPr>
          <a:solidFill>
            <a:schemeClr val="accent1"/>
          </a:solidFill>
          <a:ln w="28575" cap="rnd">
            <a:solidFill>
              <a:schemeClr val="accent1"/>
            </a:solidFill>
            <a:round/>
          </a:ln>
          <a:effectLst/>
        </c:spPr>
        <c:marker>
          <c:symbol val="none"/>
        </c:marker>
      </c:pivotFmt>
      <c:pivotFmt>
        <c:idx val="6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8"/>
        <c:spPr>
          <a:solidFill>
            <a:schemeClr val="accent1"/>
          </a:solidFill>
          <a:ln w="28575" cap="rnd">
            <a:solidFill>
              <a:schemeClr val="accent1"/>
            </a:solidFill>
            <a:round/>
          </a:ln>
          <a:effectLst/>
        </c:spPr>
        <c:marker>
          <c:symbol val="none"/>
        </c:marker>
      </c:pivotFmt>
      <c:pivotFmt>
        <c:idx val="6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0"/>
        <c:spPr>
          <a:solidFill>
            <a:schemeClr val="accent1"/>
          </a:solidFill>
          <a:ln w="28575" cap="rnd">
            <a:solidFill>
              <a:schemeClr val="accent1"/>
            </a:solidFill>
            <a:round/>
          </a:ln>
          <a:effectLst/>
        </c:spPr>
        <c:marker>
          <c:symbol val="none"/>
        </c:marker>
      </c:pivotFmt>
      <c:pivotFmt>
        <c:idx val="71"/>
        <c:spPr>
          <a:solidFill>
            <a:schemeClr val="accent1"/>
          </a:solidFill>
          <a:ln w="28575" cap="rnd">
            <a:solidFill>
              <a:schemeClr val="accent1"/>
            </a:solidFill>
            <a:round/>
          </a:ln>
          <a:effectLst/>
        </c:spPr>
        <c:marker>
          <c:symbol val="none"/>
        </c:marker>
      </c:pivotFmt>
      <c:pivotFmt>
        <c:idx val="72"/>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7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5"/>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76"/>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77"/>
        <c:spPr>
          <a:solidFill>
            <a:schemeClr val="accent1"/>
          </a:solidFill>
          <a:ln w="28575" cap="rnd">
            <a:solidFill>
              <a:schemeClr val="accent1"/>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78"/>
        <c:spPr>
          <a:solidFill>
            <a:schemeClr val="accent1"/>
          </a:solidFill>
          <a:ln w="28575" cap="rnd">
            <a:solidFill>
              <a:schemeClr val="accent1"/>
            </a:solidFill>
            <a:round/>
          </a:ln>
          <a:effectLst/>
        </c:spPr>
        <c:marker>
          <c:symbol val="none"/>
        </c:marker>
      </c:pivotFmt>
      <c:pivotFmt>
        <c:idx val="79"/>
        <c:spPr>
          <a:solidFill>
            <a:schemeClr val="accent1"/>
          </a:solidFill>
          <a:ln w="28575" cap="rnd">
            <a:solidFill>
              <a:schemeClr val="accent1"/>
            </a:solidFill>
            <a:round/>
          </a:ln>
          <a:effectLst/>
        </c:spPr>
        <c:marker>
          <c:symbol val="none"/>
        </c:marker>
      </c:pivotFmt>
      <c:pivotFmt>
        <c:idx val="80"/>
        <c:spPr>
          <a:solidFill>
            <a:schemeClr val="accent1"/>
          </a:solidFill>
          <a:ln w="28575" cap="rnd">
            <a:solidFill>
              <a:schemeClr val="accent1"/>
            </a:solidFill>
            <a:round/>
          </a:ln>
          <a:effectLst/>
        </c:spPr>
        <c:marker>
          <c:symbol val="none"/>
        </c:marker>
      </c:pivotFmt>
      <c:pivotFmt>
        <c:idx val="8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2"/>
        <c:spPr>
          <a:solidFill>
            <a:schemeClr val="accent1"/>
          </a:solidFill>
          <a:ln w="28575" cap="rnd">
            <a:solidFill>
              <a:schemeClr val="accent1"/>
            </a:solidFill>
            <a:round/>
          </a:ln>
          <a:effectLst/>
        </c:spPr>
        <c:marker>
          <c:symbol val="none"/>
        </c:marker>
      </c:pivotFmt>
      <c:pivotFmt>
        <c:idx val="83"/>
        <c:spPr>
          <a:solidFill>
            <a:schemeClr val="accent1"/>
          </a:solidFill>
          <a:ln w="28575" cap="rnd">
            <a:solidFill>
              <a:schemeClr val="accent1"/>
            </a:solidFill>
            <a:round/>
          </a:ln>
          <a:effectLst/>
        </c:spPr>
        <c:marker>
          <c:symbol val="none"/>
        </c:marker>
      </c:pivotFmt>
      <c:pivotFmt>
        <c:idx val="8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6"/>
        <c:spPr>
          <a:solidFill>
            <a:schemeClr val="accent1"/>
          </a:solidFill>
          <a:ln w="28575" cap="rnd">
            <a:solidFill>
              <a:srgbClr val="92D050"/>
            </a:solidFill>
            <a:round/>
          </a:ln>
          <a:effectLst/>
        </c:spPr>
        <c:marker>
          <c:symbol val="none"/>
        </c:marker>
        <c:dLbl>
          <c:idx val="0"/>
          <c:delete val="1"/>
          <c:extLst>
            <c:ext xmlns:c15="http://schemas.microsoft.com/office/drawing/2012/chart" uri="{CE6537A1-D6FC-4f65-9D91-7224C49458BB}"/>
          </c:extLst>
        </c:dLbl>
      </c:pivotFmt>
      <c:pivotFmt>
        <c:idx val="87"/>
        <c:spPr>
          <a:solidFill>
            <a:schemeClr val="accent1"/>
          </a:solidFill>
          <a:ln w="28575" cap="rnd">
            <a:solidFill>
              <a:schemeClr val="accent1"/>
            </a:solidFill>
            <a:round/>
          </a:ln>
          <a:effectLst/>
        </c:spPr>
        <c:marker>
          <c:symbol val="none"/>
        </c:marker>
      </c:pivotFmt>
      <c:pivotFmt>
        <c:idx val="88"/>
        <c:spPr>
          <a:solidFill>
            <a:schemeClr val="accent1"/>
          </a:solidFill>
          <a:ln w="28575" cap="rnd">
            <a:solidFill>
              <a:schemeClr val="accent1"/>
            </a:solidFill>
            <a:round/>
          </a:ln>
          <a:effectLst/>
        </c:spPr>
        <c:marker>
          <c:symbol val="none"/>
        </c:marker>
      </c:pivotFmt>
      <c:pivotFmt>
        <c:idx val="89"/>
        <c:spPr>
          <a:solidFill>
            <a:schemeClr val="accent1"/>
          </a:solidFill>
          <a:ln w="28575" cap="rnd">
            <a:solidFill>
              <a:schemeClr val="accent1"/>
            </a:solidFill>
            <a:round/>
          </a:ln>
          <a:effectLst/>
        </c:spPr>
        <c:marker>
          <c:symbol val="none"/>
        </c:marker>
      </c:pivotFmt>
      <c:pivotFmt>
        <c:idx val="90"/>
        <c:spPr>
          <a:solidFill>
            <a:schemeClr val="accent1"/>
          </a:solidFill>
          <a:ln w="28575" cap="rnd">
            <a:solidFill>
              <a:schemeClr val="accent1"/>
            </a:solidFill>
            <a:round/>
          </a:ln>
          <a:effectLst/>
        </c:spPr>
        <c:marker>
          <c:symbol val="none"/>
        </c:marker>
      </c:pivotFmt>
      <c:pivotFmt>
        <c:idx val="91"/>
        <c:spPr>
          <a:solidFill>
            <a:schemeClr val="accent1"/>
          </a:solidFill>
          <a:ln w="28575" cap="rnd">
            <a:solidFill>
              <a:schemeClr val="accent1"/>
            </a:solidFill>
            <a:round/>
          </a:ln>
          <a:effectLst/>
        </c:spPr>
        <c:marker>
          <c:symbol val="none"/>
        </c:marker>
      </c:pivotFmt>
      <c:pivotFmt>
        <c:idx val="92"/>
        <c:spPr>
          <a:solidFill>
            <a:schemeClr val="accent1"/>
          </a:solidFill>
          <a:ln w="28575" cap="rnd">
            <a:solidFill>
              <a:schemeClr val="accent1"/>
            </a:solidFill>
            <a:round/>
          </a:ln>
          <a:effectLst/>
        </c:spPr>
        <c:marker>
          <c:symbol val="none"/>
        </c:marker>
      </c:pivotFmt>
      <c:pivotFmt>
        <c:idx val="93"/>
        <c:spPr>
          <a:solidFill>
            <a:schemeClr val="accent1"/>
          </a:solidFill>
          <a:ln w="28575" cap="rnd">
            <a:solidFill>
              <a:schemeClr val="accent1"/>
            </a:solidFill>
            <a:round/>
          </a:ln>
          <a:effectLst/>
        </c:spPr>
        <c:marker>
          <c:symbol val="none"/>
        </c:marker>
      </c:pivotFmt>
      <c:pivotFmt>
        <c:idx val="94"/>
        <c:spPr>
          <a:solidFill>
            <a:schemeClr val="accent1"/>
          </a:solidFill>
          <a:ln w="28575" cap="rnd">
            <a:solidFill>
              <a:schemeClr val="accent1"/>
            </a:solidFill>
            <a:round/>
          </a:ln>
          <a:effectLst/>
        </c:spPr>
        <c:marker>
          <c:symbol val="none"/>
        </c:marker>
      </c:pivotFmt>
      <c:pivotFmt>
        <c:idx val="95"/>
        <c:spPr>
          <a:solidFill>
            <a:schemeClr val="accent1"/>
          </a:solidFill>
          <a:ln w="28575" cap="rnd">
            <a:solidFill>
              <a:schemeClr val="accent1"/>
            </a:solidFill>
            <a:round/>
          </a:ln>
          <a:effectLst/>
        </c:spPr>
        <c:marker>
          <c:symbol val="none"/>
        </c:marker>
      </c:pivotFmt>
      <c:pivotFmt>
        <c:idx val="96"/>
        <c:spPr>
          <a:solidFill>
            <a:schemeClr val="accent1"/>
          </a:solidFill>
          <a:ln w="28575" cap="rnd">
            <a:solidFill>
              <a:schemeClr val="accent1"/>
            </a:solidFill>
            <a:round/>
          </a:ln>
          <a:effectLst/>
        </c:spPr>
        <c:marker>
          <c:symbol val="none"/>
        </c:marker>
      </c:pivotFmt>
      <c:pivotFmt>
        <c:idx val="97"/>
        <c:spPr>
          <a:solidFill>
            <a:schemeClr val="accent1"/>
          </a:solidFill>
          <a:ln w="28575" cap="rnd">
            <a:solidFill>
              <a:schemeClr val="accent1"/>
            </a:solidFill>
            <a:round/>
          </a:ln>
          <a:effectLst/>
        </c:spPr>
        <c:marker>
          <c:symbol val="none"/>
        </c:marker>
      </c:pivotFmt>
      <c:pivotFmt>
        <c:idx val="98"/>
        <c:spPr>
          <a:solidFill>
            <a:schemeClr val="accent1"/>
          </a:solidFill>
          <a:ln w="28575" cap="rnd">
            <a:solidFill>
              <a:schemeClr val="accent1"/>
            </a:solidFill>
            <a:round/>
          </a:ln>
          <a:effectLst/>
        </c:spPr>
        <c:marker>
          <c:symbol val="none"/>
        </c:marker>
      </c:pivotFmt>
      <c:pivotFmt>
        <c:idx val="99"/>
        <c:spPr>
          <a:solidFill>
            <a:schemeClr val="accent1"/>
          </a:solidFill>
          <a:ln w="28575" cap="rnd">
            <a:solidFill>
              <a:schemeClr val="accent1"/>
            </a:solidFill>
            <a:round/>
          </a:ln>
          <a:effectLst/>
        </c:spPr>
        <c:marker>
          <c:symbol val="none"/>
        </c:marker>
      </c:pivotFmt>
      <c:pivotFmt>
        <c:idx val="100"/>
        <c:spPr>
          <a:solidFill>
            <a:schemeClr val="accent1"/>
          </a:solidFill>
          <a:ln w="28575" cap="rnd">
            <a:solidFill>
              <a:schemeClr val="accent1"/>
            </a:solidFill>
            <a:round/>
          </a:ln>
          <a:effectLst/>
        </c:spPr>
        <c:marker>
          <c:symbol val="none"/>
        </c:marker>
      </c:pivotFmt>
      <c:pivotFmt>
        <c:idx val="101"/>
        <c:spPr>
          <a:solidFill>
            <a:schemeClr val="accent1"/>
          </a:solidFill>
          <a:ln w="28575" cap="rnd">
            <a:solidFill>
              <a:schemeClr val="accent1"/>
            </a:solidFill>
            <a:round/>
          </a:ln>
          <a:effectLst/>
        </c:spPr>
        <c:marker>
          <c:symbol val="none"/>
        </c:marker>
      </c:pivotFmt>
      <c:pivotFmt>
        <c:idx val="102"/>
        <c:spPr>
          <a:solidFill>
            <a:schemeClr val="accent1"/>
          </a:solidFill>
          <a:ln w="28575" cap="rnd">
            <a:solidFill>
              <a:schemeClr val="accent1"/>
            </a:solidFill>
            <a:round/>
          </a:ln>
          <a:effectLst/>
        </c:spPr>
        <c:marker>
          <c:symbol val="none"/>
        </c:marker>
      </c:pivotFmt>
      <c:pivotFmt>
        <c:idx val="103"/>
        <c:spPr>
          <a:solidFill>
            <a:schemeClr val="accent1"/>
          </a:solidFill>
          <a:ln w="28575" cap="rnd">
            <a:solidFill>
              <a:schemeClr val="accent1"/>
            </a:solidFill>
            <a:round/>
          </a:ln>
          <a:effectLst/>
        </c:spPr>
        <c:marker>
          <c:symbol val="none"/>
        </c:marker>
      </c:pivotFmt>
      <c:pivotFmt>
        <c:idx val="104"/>
        <c:spPr>
          <a:solidFill>
            <a:schemeClr val="accent1"/>
          </a:solidFill>
          <a:ln w="28575" cap="rnd">
            <a:solidFill>
              <a:schemeClr val="accent1"/>
            </a:solidFill>
            <a:round/>
          </a:ln>
          <a:effectLst/>
        </c:spPr>
        <c:marker>
          <c:symbol val="none"/>
        </c:marker>
      </c:pivotFmt>
      <c:pivotFmt>
        <c:idx val="105"/>
        <c:spPr>
          <a:solidFill>
            <a:schemeClr val="accent1"/>
          </a:solidFill>
          <a:ln w="28575" cap="rnd">
            <a:solidFill>
              <a:schemeClr val="accent1"/>
            </a:solidFill>
            <a:round/>
          </a:ln>
          <a:effectLst/>
        </c:spPr>
        <c:marker>
          <c:symbol val="none"/>
        </c:marker>
      </c:pivotFmt>
      <c:pivotFmt>
        <c:idx val="106"/>
        <c:spPr>
          <a:solidFill>
            <a:schemeClr val="accent1"/>
          </a:solidFill>
          <a:ln w="28575" cap="rnd">
            <a:solidFill>
              <a:schemeClr val="accent1"/>
            </a:solidFill>
            <a:round/>
          </a:ln>
          <a:effectLst/>
        </c:spPr>
        <c:marker>
          <c:symbol val="none"/>
        </c:marker>
      </c:pivotFmt>
      <c:pivotFmt>
        <c:idx val="107"/>
        <c:spPr>
          <a:solidFill>
            <a:schemeClr val="accent1"/>
          </a:solidFill>
          <a:ln w="28575" cap="rnd">
            <a:solidFill>
              <a:schemeClr val="accent1"/>
            </a:solidFill>
            <a:round/>
          </a:ln>
          <a:effectLst/>
        </c:spPr>
        <c:marker>
          <c:symbol val="none"/>
        </c:marker>
      </c:pivotFmt>
      <c:pivotFmt>
        <c:idx val="108"/>
        <c:spPr>
          <a:solidFill>
            <a:schemeClr val="accent1"/>
          </a:solidFill>
          <a:ln w="28575" cap="rnd">
            <a:solidFill>
              <a:schemeClr val="accent1"/>
            </a:solidFill>
            <a:round/>
          </a:ln>
          <a:effectLst/>
        </c:spPr>
        <c:marker>
          <c:symbol val="none"/>
        </c:marker>
      </c:pivotFmt>
      <c:pivotFmt>
        <c:idx val="109"/>
        <c:spPr>
          <a:solidFill>
            <a:schemeClr val="accent1"/>
          </a:solidFill>
          <a:ln w="28575" cap="rnd">
            <a:solidFill>
              <a:schemeClr val="accent1"/>
            </a:solidFill>
            <a:round/>
          </a:ln>
          <a:effectLst/>
        </c:spPr>
        <c:marker>
          <c:symbol val="none"/>
        </c:marker>
      </c:pivotFmt>
      <c:pivotFmt>
        <c:idx val="110"/>
        <c:spPr>
          <a:solidFill>
            <a:schemeClr val="accent1"/>
          </a:solidFill>
          <a:ln w="28575" cap="rnd">
            <a:solidFill>
              <a:schemeClr val="accent1"/>
            </a:solidFill>
            <a:round/>
          </a:ln>
          <a:effectLst/>
        </c:spPr>
        <c:marker>
          <c:symbol val="none"/>
        </c:marker>
      </c:pivotFmt>
      <c:pivotFmt>
        <c:idx val="111"/>
        <c:spPr>
          <a:solidFill>
            <a:schemeClr val="accent1"/>
          </a:solidFill>
          <a:ln w="28575" cap="rnd">
            <a:solidFill>
              <a:schemeClr val="accent1"/>
            </a:solidFill>
            <a:round/>
          </a:ln>
          <a:effectLst/>
        </c:spPr>
        <c:marker>
          <c:symbol val="none"/>
        </c:marker>
      </c:pivotFmt>
      <c:pivotFmt>
        <c:idx val="112"/>
        <c:spPr>
          <a:solidFill>
            <a:schemeClr val="accent1"/>
          </a:solidFill>
          <a:ln w="28575" cap="rnd">
            <a:solidFill>
              <a:schemeClr val="accent1"/>
            </a:solidFill>
            <a:round/>
          </a:ln>
          <a:effectLst/>
        </c:spPr>
        <c:marker>
          <c:symbol val="none"/>
        </c:marker>
      </c:pivotFmt>
      <c:pivotFmt>
        <c:idx val="113"/>
        <c:spPr>
          <a:solidFill>
            <a:schemeClr val="accent1"/>
          </a:solidFill>
          <a:ln w="28575" cap="rnd">
            <a:solidFill>
              <a:schemeClr val="accent1"/>
            </a:solidFill>
            <a:round/>
          </a:ln>
          <a:effectLst/>
        </c:spPr>
        <c:marker>
          <c:symbol val="none"/>
        </c:marker>
      </c:pivotFmt>
      <c:pivotFmt>
        <c:idx val="114"/>
        <c:spPr>
          <a:solidFill>
            <a:schemeClr val="accent1"/>
          </a:solidFill>
          <a:ln w="28575" cap="rnd">
            <a:solidFill>
              <a:schemeClr val="accent1"/>
            </a:solidFill>
            <a:round/>
          </a:ln>
          <a:effectLst/>
        </c:spPr>
        <c:marker>
          <c:symbol val="none"/>
        </c:marker>
      </c:pivotFmt>
      <c:pivotFmt>
        <c:idx val="115"/>
        <c:spPr>
          <a:solidFill>
            <a:schemeClr val="accent1"/>
          </a:solidFill>
          <a:ln w="28575" cap="rnd">
            <a:solidFill>
              <a:schemeClr val="accent1"/>
            </a:solidFill>
            <a:round/>
          </a:ln>
          <a:effectLst/>
        </c:spPr>
        <c:marker>
          <c:symbol val="none"/>
        </c:marker>
      </c:pivotFmt>
      <c:pivotFmt>
        <c:idx val="116"/>
        <c:spPr>
          <a:solidFill>
            <a:schemeClr val="accent1"/>
          </a:solidFill>
          <a:ln w="28575" cap="rnd">
            <a:solidFill>
              <a:schemeClr val="accent1"/>
            </a:solidFill>
            <a:round/>
          </a:ln>
          <a:effectLst/>
        </c:spPr>
        <c:marker>
          <c:symbol val="none"/>
        </c:marker>
      </c:pivotFmt>
      <c:pivotFmt>
        <c:idx val="117"/>
        <c:spPr>
          <a:solidFill>
            <a:schemeClr val="accent1"/>
          </a:solidFill>
          <a:ln w="28575" cap="rnd">
            <a:solidFill>
              <a:schemeClr val="accent1"/>
            </a:solidFill>
            <a:round/>
          </a:ln>
          <a:effectLst/>
        </c:spPr>
        <c:marker>
          <c:symbol val="none"/>
        </c:marker>
      </c:pivotFmt>
      <c:pivotFmt>
        <c:idx val="118"/>
        <c:spPr>
          <a:solidFill>
            <a:schemeClr val="accent1"/>
          </a:solidFill>
          <a:ln w="28575" cap="rnd">
            <a:solidFill>
              <a:schemeClr val="accent1"/>
            </a:solidFill>
            <a:round/>
          </a:ln>
          <a:effectLst/>
        </c:spPr>
        <c:marker>
          <c:symbol val="none"/>
        </c:marker>
      </c:pivotFmt>
      <c:pivotFmt>
        <c:idx val="119"/>
        <c:spPr>
          <a:solidFill>
            <a:schemeClr val="accent1"/>
          </a:solidFill>
          <a:ln w="28575" cap="rnd">
            <a:solidFill>
              <a:schemeClr val="accent1"/>
            </a:solidFill>
            <a:round/>
          </a:ln>
          <a:effectLst/>
        </c:spPr>
        <c:marker>
          <c:symbol val="none"/>
        </c:marker>
      </c:pivotFmt>
      <c:pivotFmt>
        <c:idx val="120"/>
        <c:spPr>
          <a:solidFill>
            <a:schemeClr val="accent1"/>
          </a:solidFill>
          <a:ln w="28575" cap="rnd">
            <a:solidFill>
              <a:schemeClr val="accent1"/>
            </a:solidFill>
            <a:round/>
          </a:ln>
          <a:effectLst/>
        </c:spPr>
        <c:marker>
          <c:symbol val="none"/>
        </c:marker>
      </c:pivotFmt>
      <c:pivotFmt>
        <c:idx val="121"/>
        <c:spPr>
          <a:solidFill>
            <a:schemeClr val="accent1"/>
          </a:solidFill>
          <a:ln w="28575" cap="rnd">
            <a:solidFill>
              <a:schemeClr val="accent1"/>
            </a:solidFill>
            <a:round/>
          </a:ln>
          <a:effectLst/>
        </c:spPr>
        <c:marker>
          <c:symbol val="none"/>
        </c:marker>
      </c:pivotFmt>
      <c:pivotFmt>
        <c:idx val="122"/>
        <c:spPr>
          <a:solidFill>
            <a:schemeClr val="accent1"/>
          </a:solidFill>
          <a:ln w="28575" cap="rnd">
            <a:solidFill>
              <a:schemeClr val="accent1"/>
            </a:solidFill>
            <a:round/>
          </a:ln>
          <a:effectLst/>
        </c:spPr>
        <c:marker>
          <c:symbol val="none"/>
        </c:marker>
      </c:pivotFmt>
      <c:pivotFmt>
        <c:idx val="123"/>
        <c:spPr>
          <a:solidFill>
            <a:schemeClr val="accent1"/>
          </a:solidFill>
          <a:ln w="28575" cap="rnd">
            <a:solidFill>
              <a:schemeClr val="accent1"/>
            </a:solidFill>
            <a:round/>
          </a:ln>
          <a:effectLst/>
        </c:spPr>
        <c:marker>
          <c:symbol val="none"/>
        </c:marker>
      </c:pivotFmt>
      <c:pivotFmt>
        <c:idx val="124"/>
        <c:spPr>
          <a:solidFill>
            <a:schemeClr val="accent1"/>
          </a:solidFill>
          <a:ln w="28575" cap="rnd">
            <a:solidFill>
              <a:schemeClr val="accent1"/>
            </a:solidFill>
            <a:round/>
          </a:ln>
          <a:effectLst/>
        </c:spPr>
        <c:marker>
          <c:symbol val="none"/>
        </c:marker>
      </c:pivotFmt>
      <c:pivotFmt>
        <c:idx val="125"/>
        <c:spPr>
          <a:solidFill>
            <a:schemeClr val="accent1"/>
          </a:solidFill>
          <a:ln w="28575" cap="rnd">
            <a:solidFill>
              <a:schemeClr val="accent1"/>
            </a:solidFill>
            <a:round/>
          </a:ln>
          <a:effectLst/>
        </c:spPr>
        <c:marker>
          <c:symbol val="none"/>
        </c:marker>
      </c:pivotFmt>
      <c:pivotFmt>
        <c:idx val="126"/>
        <c:spPr>
          <a:solidFill>
            <a:schemeClr val="accent1"/>
          </a:solidFill>
          <a:ln w="28575" cap="rnd">
            <a:solidFill>
              <a:schemeClr val="accent1"/>
            </a:solidFill>
            <a:round/>
          </a:ln>
          <a:effectLst/>
        </c:spPr>
        <c:marker>
          <c:symbol val="none"/>
        </c:marker>
      </c:pivotFmt>
      <c:pivotFmt>
        <c:idx val="127"/>
        <c:spPr>
          <a:solidFill>
            <a:schemeClr val="accent1"/>
          </a:solidFill>
          <a:ln w="28575" cap="rnd">
            <a:solidFill>
              <a:schemeClr val="accent1"/>
            </a:solidFill>
            <a:round/>
          </a:ln>
          <a:effectLst/>
        </c:spPr>
        <c:marker>
          <c:symbol val="none"/>
        </c:marker>
      </c:pivotFmt>
      <c:pivotFmt>
        <c:idx val="128"/>
        <c:spPr>
          <a:solidFill>
            <a:schemeClr val="accent1"/>
          </a:solidFill>
          <a:ln w="28575" cap="rnd">
            <a:solidFill>
              <a:schemeClr val="accent1"/>
            </a:solidFill>
            <a:round/>
          </a:ln>
          <a:effectLst/>
        </c:spPr>
        <c:marker>
          <c:symbol val="none"/>
        </c:marker>
      </c:pivotFmt>
      <c:pivotFmt>
        <c:idx val="129"/>
        <c:spPr>
          <a:solidFill>
            <a:schemeClr val="accent1"/>
          </a:solidFill>
          <a:ln w="28575" cap="rnd">
            <a:solidFill>
              <a:schemeClr val="accent1"/>
            </a:solidFill>
            <a:round/>
          </a:ln>
          <a:effectLst/>
        </c:spPr>
        <c:marker>
          <c:symbol val="none"/>
        </c:marker>
      </c:pivotFmt>
      <c:pivotFmt>
        <c:idx val="130"/>
        <c:spPr>
          <a:solidFill>
            <a:schemeClr val="accent1"/>
          </a:solidFill>
          <a:ln w="28575" cap="rnd">
            <a:solidFill>
              <a:schemeClr val="accent1"/>
            </a:solidFill>
            <a:round/>
          </a:ln>
          <a:effectLst/>
        </c:spPr>
        <c:marker>
          <c:symbol val="none"/>
        </c:marker>
      </c:pivotFmt>
      <c:pivotFmt>
        <c:idx val="131"/>
        <c:spPr>
          <a:solidFill>
            <a:schemeClr val="accent1"/>
          </a:solidFill>
          <a:ln w="28575" cap="rnd">
            <a:solidFill>
              <a:schemeClr val="accent1"/>
            </a:solidFill>
            <a:round/>
          </a:ln>
          <a:effectLst/>
        </c:spPr>
        <c:marker>
          <c:symbol val="none"/>
        </c:marker>
      </c:pivotFmt>
      <c:pivotFmt>
        <c:idx val="132"/>
        <c:spPr>
          <a:solidFill>
            <a:schemeClr val="accent1"/>
          </a:solidFill>
          <a:ln w="28575" cap="rnd">
            <a:solidFill>
              <a:schemeClr val="accent1"/>
            </a:solidFill>
            <a:round/>
          </a:ln>
          <a:effectLst/>
        </c:spPr>
        <c:marker>
          <c:symbol val="none"/>
        </c:marker>
      </c:pivotFmt>
      <c:pivotFmt>
        <c:idx val="133"/>
        <c:spPr>
          <a:solidFill>
            <a:schemeClr val="accent1"/>
          </a:solidFill>
          <a:ln w="28575" cap="rnd">
            <a:solidFill>
              <a:schemeClr val="accent1"/>
            </a:solidFill>
            <a:round/>
          </a:ln>
          <a:effectLst/>
        </c:spPr>
        <c:marker>
          <c:symbol val="none"/>
        </c:marker>
      </c:pivotFmt>
      <c:pivotFmt>
        <c:idx val="134"/>
        <c:spPr>
          <a:solidFill>
            <a:schemeClr val="accent1"/>
          </a:solidFill>
          <a:ln w="28575" cap="rnd">
            <a:solidFill>
              <a:schemeClr val="accent1"/>
            </a:solidFill>
            <a:round/>
          </a:ln>
          <a:effectLst/>
        </c:spPr>
        <c:marker>
          <c:symbol val="none"/>
        </c:marker>
      </c:pivotFmt>
      <c:pivotFmt>
        <c:idx val="135"/>
        <c:spPr>
          <a:solidFill>
            <a:schemeClr val="accent1"/>
          </a:solidFill>
          <a:ln w="28575" cap="rnd">
            <a:solidFill>
              <a:schemeClr val="accent1"/>
            </a:solidFill>
            <a:round/>
          </a:ln>
          <a:effectLst/>
        </c:spPr>
        <c:marker>
          <c:symbol val="none"/>
        </c:marker>
      </c:pivotFmt>
      <c:pivotFmt>
        <c:idx val="136"/>
        <c:spPr>
          <a:solidFill>
            <a:schemeClr val="accent1"/>
          </a:solidFill>
          <a:ln w="28575" cap="rnd">
            <a:solidFill>
              <a:schemeClr val="accent1"/>
            </a:solidFill>
            <a:round/>
          </a:ln>
          <a:effectLst/>
        </c:spPr>
        <c:marker>
          <c:symbol val="none"/>
        </c:marker>
      </c:pivotFmt>
      <c:pivotFmt>
        <c:idx val="137"/>
        <c:spPr>
          <a:solidFill>
            <a:schemeClr val="accent1"/>
          </a:solidFill>
          <a:ln w="28575" cap="rnd">
            <a:solidFill>
              <a:schemeClr val="accent1"/>
            </a:solidFill>
            <a:round/>
          </a:ln>
          <a:effectLst/>
        </c:spPr>
        <c:marker>
          <c:symbol val="none"/>
        </c:marker>
      </c:pivotFmt>
      <c:pivotFmt>
        <c:idx val="138"/>
        <c:spPr>
          <a:solidFill>
            <a:schemeClr val="accent1"/>
          </a:solidFill>
          <a:ln w="28575" cap="rnd">
            <a:solidFill>
              <a:schemeClr val="accent1"/>
            </a:solidFill>
            <a:round/>
          </a:ln>
          <a:effectLst/>
        </c:spPr>
        <c:marker>
          <c:symbol val="none"/>
        </c:marker>
      </c:pivotFmt>
      <c:pivotFmt>
        <c:idx val="139"/>
        <c:spPr>
          <a:solidFill>
            <a:schemeClr val="accent1"/>
          </a:solidFill>
          <a:ln w="28575" cap="rnd">
            <a:solidFill>
              <a:schemeClr val="accent1"/>
            </a:solidFill>
            <a:round/>
          </a:ln>
          <a:effectLst/>
        </c:spPr>
        <c:marker>
          <c:symbol val="none"/>
        </c:marker>
      </c:pivotFmt>
      <c:pivotFmt>
        <c:idx val="140"/>
        <c:spPr>
          <a:solidFill>
            <a:schemeClr val="accent1"/>
          </a:solidFill>
          <a:ln w="28575" cap="rnd">
            <a:solidFill>
              <a:schemeClr val="accent1"/>
            </a:solidFill>
            <a:round/>
          </a:ln>
          <a:effectLst/>
        </c:spPr>
        <c:marker>
          <c:symbol val="none"/>
        </c:marker>
      </c:pivotFmt>
      <c:pivotFmt>
        <c:idx val="141"/>
        <c:spPr>
          <a:solidFill>
            <a:schemeClr val="accent1"/>
          </a:solidFill>
          <a:ln w="28575" cap="rnd">
            <a:solidFill>
              <a:schemeClr val="accent1"/>
            </a:solidFill>
            <a:round/>
          </a:ln>
          <a:effectLst/>
        </c:spPr>
        <c:marker>
          <c:symbol val="none"/>
        </c:marker>
      </c:pivotFmt>
      <c:pivotFmt>
        <c:idx val="142"/>
        <c:spPr>
          <a:solidFill>
            <a:schemeClr val="accent1"/>
          </a:solidFill>
          <a:ln w="28575" cap="rnd">
            <a:solidFill>
              <a:schemeClr val="accent1"/>
            </a:solidFill>
            <a:round/>
          </a:ln>
          <a:effectLst/>
        </c:spPr>
        <c:marker>
          <c:symbol val="none"/>
        </c:marker>
      </c:pivotFmt>
      <c:pivotFmt>
        <c:idx val="143"/>
        <c:spPr>
          <a:solidFill>
            <a:schemeClr val="accent1"/>
          </a:solidFill>
          <a:ln w="28575" cap="rnd">
            <a:solidFill>
              <a:schemeClr val="accent1"/>
            </a:solidFill>
            <a:round/>
          </a:ln>
          <a:effectLst/>
        </c:spPr>
        <c:marker>
          <c:symbol val="none"/>
        </c:marker>
      </c:pivotFmt>
      <c:pivotFmt>
        <c:idx val="144"/>
        <c:spPr>
          <a:solidFill>
            <a:schemeClr val="accent1"/>
          </a:solidFill>
          <a:ln w="28575" cap="rnd">
            <a:solidFill>
              <a:schemeClr val="accent1"/>
            </a:solidFill>
            <a:round/>
          </a:ln>
          <a:effectLst/>
        </c:spPr>
        <c:marker>
          <c:symbol val="none"/>
        </c:marker>
      </c:pivotFmt>
      <c:pivotFmt>
        <c:idx val="145"/>
        <c:spPr>
          <a:solidFill>
            <a:schemeClr val="accent1"/>
          </a:solidFill>
          <a:ln w="28575" cap="rnd">
            <a:solidFill>
              <a:schemeClr val="accent1"/>
            </a:solidFill>
            <a:round/>
          </a:ln>
          <a:effectLst/>
        </c:spPr>
        <c:marker>
          <c:symbol val="none"/>
        </c:marker>
      </c:pivotFmt>
      <c:pivotFmt>
        <c:idx val="146"/>
        <c:spPr>
          <a:solidFill>
            <a:schemeClr val="accent1"/>
          </a:solidFill>
          <a:ln w="28575" cap="rnd">
            <a:solidFill>
              <a:schemeClr val="accent1"/>
            </a:solidFill>
            <a:round/>
          </a:ln>
          <a:effectLst/>
        </c:spPr>
        <c:marker>
          <c:symbol val="none"/>
        </c:marker>
      </c:pivotFmt>
      <c:pivotFmt>
        <c:idx val="147"/>
        <c:spPr>
          <a:solidFill>
            <a:schemeClr val="accent1"/>
          </a:solidFill>
          <a:ln w="28575" cap="rnd">
            <a:solidFill>
              <a:schemeClr val="accent1"/>
            </a:solidFill>
            <a:round/>
          </a:ln>
          <a:effectLst/>
        </c:spPr>
        <c:marker>
          <c:symbol val="none"/>
        </c:marker>
      </c:pivotFmt>
      <c:pivotFmt>
        <c:idx val="148"/>
        <c:spPr>
          <a:solidFill>
            <a:schemeClr val="accent1"/>
          </a:solidFill>
          <a:ln w="28575" cap="rnd">
            <a:solidFill>
              <a:schemeClr val="accent1"/>
            </a:solidFill>
            <a:round/>
          </a:ln>
          <a:effectLst/>
        </c:spPr>
        <c:marker>
          <c:symbol val="none"/>
        </c:marker>
      </c:pivotFmt>
      <c:pivotFmt>
        <c:idx val="149"/>
        <c:spPr>
          <a:solidFill>
            <a:schemeClr val="accent1"/>
          </a:solidFill>
          <a:ln w="28575" cap="rnd">
            <a:solidFill>
              <a:schemeClr val="accent1"/>
            </a:solidFill>
            <a:round/>
          </a:ln>
          <a:effectLst/>
        </c:spPr>
        <c:marker>
          <c:symbol val="none"/>
        </c:marker>
      </c:pivotFmt>
      <c:pivotFmt>
        <c:idx val="150"/>
        <c:spPr>
          <a:solidFill>
            <a:schemeClr val="accent1"/>
          </a:solidFill>
          <a:ln w="28575" cap="rnd">
            <a:solidFill>
              <a:schemeClr val="accent1"/>
            </a:solidFill>
            <a:round/>
          </a:ln>
          <a:effectLst/>
        </c:spPr>
        <c:marker>
          <c:symbol val="none"/>
        </c:marker>
      </c:pivotFmt>
      <c:pivotFmt>
        <c:idx val="151"/>
        <c:spPr>
          <a:solidFill>
            <a:schemeClr val="accent1"/>
          </a:solidFill>
          <a:ln w="28575" cap="rnd">
            <a:solidFill>
              <a:schemeClr val="accent1"/>
            </a:solidFill>
            <a:round/>
          </a:ln>
          <a:effectLst/>
        </c:spPr>
        <c:marker>
          <c:symbol val="none"/>
        </c:marker>
      </c:pivotFmt>
      <c:pivotFmt>
        <c:idx val="152"/>
        <c:spPr>
          <a:solidFill>
            <a:schemeClr val="accent1"/>
          </a:solidFill>
          <a:ln w="28575" cap="rnd">
            <a:solidFill>
              <a:schemeClr val="accent1"/>
            </a:solidFill>
            <a:round/>
          </a:ln>
          <a:effectLst/>
        </c:spPr>
        <c:marker>
          <c:symbol val="none"/>
        </c:marker>
      </c:pivotFmt>
      <c:pivotFmt>
        <c:idx val="153"/>
        <c:spPr>
          <a:solidFill>
            <a:schemeClr val="accent1"/>
          </a:solidFill>
          <a:ln w="28575" cap="rnd">
            <a:solidFill>
              <a:schemeClr val="accent1"/>
            </a:solidFill>
            <a:round/>
          </a:ln>
          <a:effectLst/>
        </c:spPr>
        <c:marker>
          <c:symbol val="none"/>
        </c:marker>
      </c:pivotFmt>
      <c:pivotFmt>
        <c:idx val="154"/>
        <c:spPr>
          <a:solidFill>
            <a:schemeClr val="accent1"/>
          </a:solidFill>
          <a:ln w="28575" cap="rnd">
            <a:solidFill>
              <a:schemeClr val="accent1"/>
            </a:solidFill>
            <a:round/>
          </a:ln>
          <a:effectLst/>
        </c:spPr>
        <c:marker>
          <c:symbol val="none"/>
        </c:marker>
      </c:pivotFmt>
      <c:pivotFmt>
        <c:idx val="155"/>
        <c:spPr>
          <a:solidFill>
            <a:schemeClr val="accent1"/>
          </a:solidFill>
          <a:ln w="28575" cap="rnd">
            <a:solidFill>
              <a:schemeClr val="accent1"/>
            </a:solidFill>
            <a:round/>
          </a:ln>
          <a:effectLst/>
        </c:spPr>
        <c:marker>
          <c:symbol val="none"/>
        </c:marker>
      </c:pivotFmt>
      <c:pivotFmt>
        <c:idx val="156"/>
        <c:spPr>
          <a:solidFill>
            <a:schemeClr val="accent1"/>
          </a:solidFill>
          <a:ln w="28575" cap="rnd">
            <a:solidFill>
              <a:schemeClr val="accent1"/>
            </a:solidFill>
            <a:round/>
          </a:ln>
          <a:effectLst/>
        </c:spPr>
        <c:marker>
          <c:symbol val="none"/>
        </c:marker>
      </c:pivotFmt>
      <c:pivotFmt>
        <c:idx val="157"/>
        <c:spPr>
          <a:solidFill>
            <a:schemeClr val="accent1"/>
          </a:solidFill>
          <a:ln w="28575" cap="rnd">
            <a:solidFill>
              <a:schemeClr val="accent1"/>
            </a:solidFill>
            <a:round/>
          </a:ln>
          <a:effectLst/>
        </c:spPr>
        <c:marker>
          <c:symbol val="none"/>
        </c:marker>
      </c:pivotFmt>
      <c:pivotFmt>
        <c:idx val="158"/>
        <c:spPr>
          <a:solidFill>
            <a:schemeClr val="accent1"/>
          </a:solidFill>
          <a:ln w="28575" cap="rnd">
            <a:solidFill>
              <a:schemeClr val="accent3"/>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59"/>
        <c:spPr>
          <a:solidFill>
            <a:schemeClr val="accent1"/>
          </a:solidFill>
          <a:ln w="28575" cap="rnd">
            <a:solidFill>
              <a:schemeClr val="accent5"/>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0"/>
        <c:spPr>
          <a:solidFill>
            <a:schemeClr val="accent1"/>
          </a:solidFill>
          <a:ln w="28575" cap="rnd">
            <a:solidFill>
              <a:srgbClr val="92D050"/>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62"/>
        <c:spPr>
          <a:solidFill>
            <a:schemeClr val="accent1"/>
          </a:solidFill>
          <a:ln w="28575" cap="rnd">
            <a:solidFill>
              <a:schemeClr val="accent2"/>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3"/>
        <c:spPr>
          <a:solidFill>
            <a:schemeClr val="accent1"/>
          </a:solidFill>
          <a:ln w="28575" cap="rnd">
            <a:solidFill>
              <a:schemeClr val="accent4"/>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4"/>
        <c:spPr>
          <a:solidFill>
            <a:schemeClr val="accent1"/>
          </a:solidFill>
          <a:ln w="28575" cap="rnd">
            <a:solidFill>
              <a:sysClr val="windowText" lastClr="000000"/>
            </a:solidFill>
            <a:prstDash val="sysDot"/>
            <a:round/>
          </a:ln>
          <a:effectLst/>
        </c:spPr>
        <c:marker>
          <c:symbol val="none"/>
        </c:marker>
        <c:dLbl>
          <c:idx val="0"/>
          <c:delete val="1"/>
          <c:extLst>
            <c:ext xmlns:c15="http://schemas.microsoft.com/office/drawing/2012/chart" uri="{CE6537A1-D6FC-4f65-9D91-7224C49458BB}"/>
          </c:extLst>
        </c:dLbl>
      </c:pivotFmt>
      <c:pivotFmt>
        <c:idx val="165"/>
        <c:spPr>
          <a:solidFill>
            <a:schemeClr val="accent1"/>
          </a:solidFill>
          <a:ln w="28575" cap="rnd">
            <a:solidFill>
              <a:sysClr val="windowText" lastClr="000000"/>
            </a:solidFill>
            <a:prstDash val="sysDot"/>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67"/>
        <c:spPr>
          <a:solidFill>
            <a:schemeClr val="accent1"/>
          </a:solidFill>
          <a:ln w="28575" cap="rnd">
            <a:solidFill>
              <a:schemeClr val="accent2"/>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6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69"/>
        <c:spPr>
          <a:solidFill>
            <a:schemeClr val="accent1"/>
          </a:solidFill>
          <a:ln w="28575" cap="rnd">
            <a:solidFill>
              <a:schemeClr val="accent3"/>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71"/>
        <c:spPr>
          <a:solidFill>
            <a:schemeClr val="accent1"/>
          </a:solidFill>
          <a:ln w="28575" cap="rnd">
            <a:solidFill>
              <a:schemeClr val="accent4"/>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73"/>
        <c:spPr>
          <a:solidFill>
            <a:schemeClr val="accent1"/>
          </a:solidFill>
          <a:ln w="28575" cap="rnd">
            <a:solidFill>
              <a:schemeClr val="accent5"/>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4"/>
        <c:spPr>
          <a:solidFill>
            <a:schemeClr val="accent1"/>
          </a:solidFill>
          <a:ln w="28575" cap="rnd">
            <a:solidFill>
              <a:srgbClr val="92D050"/>
            </a:solidFill>
            <a:round/>
          </a:ln>
          <a:effectLst/>
        </c:spPr>
        <c:marker>
          <c:symbol val="none"/>
        </c:marker>
        <c:dLbl>
          <c:idx val="0"/>
          <c:delete val="1"/>
          <c:extLst>
            <c:ext xmlns:c15="http://schemas.microsoft.com/office/drawing/2012/chart" uri="{CE6537A1-D6FC-4f65-9D91-7224C49458BB}"/>
          </c:extLst>
        </c:dLbl>
      </c:pivotFmt>
      <c:pivotFmt>
        <c:idx val="175"/>
        <c:spPr>
          <a:solidFill>
            <a:schemeClr val="accent1"/>
          </a:solidFill>
          <a:ln w="28575" cap="rnd">
            <a:solidFill>
              <a:srgbClr val="92D050"/>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6"/>
        <c:spPr>
          <a:solidFill>
            <a:schemeClr val="accent1"/>
          </a:solidFill>
          <a:ln w="28575" cap="rnd">
            <a:solidFill>
              <a:sysClr val="windowText" lastClr="000000"/>
            </a:solidFill>
            <a:prstDash val="sysDot"/>
            <a:round/>
          </a:ln>
          <a:effectLst/>
        </c:spPr>
        <c:marker>
          <c:symbol val="none"/>
        </c:marker>
        <c:dLbl>
          <c:idx val="0"/>
          <c:delete val="1"/>
          <c:extLst>
            <c:ext xmlns:c15="http://schemas.microsoft.com/office/drawing/2012/chart" uri="{CE6537A1-D6FC-4f65-9D91-7224C49458BB}"/>
          </c:extLst>
        </c:dLbl>
      </c:pivotFmt>
      <c:pivotFmt>
        <c:idx val="177"/>
        <c:spPr>
          <a:solidFill>
            <a:schemeClr val="accent1"/>
          </a:solidFill>
          <a:ln w="28575" cap="rnd">
            <a:solidFill>
              <a:sysClr val="windowText" lastClr="000000"/>
            </a:solidFill>
            <a:prstDash val="sysDot"/>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7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79"/>
        <c:spPr>
          <a:solidFill>
            <a:schemeClr val="accent1"/>
          </a:solidFill>
          <a:ln w="28575" cap="rnd">
            <a:solidFill>
              <a:schemeClr val="accent2"/>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8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81"/>
        <c:spPr>
          <a:solidFill>
            <a:schemeClr val="accent1"/>
          </a:solidFill>
          <a:ln w="28575" cap="rnd">
            <a:solidFill>
              <a:schemeClr val="accent3"/>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8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83"/>
        <c:spPr>
          <a:solidFill>
            <a:schemeClr val="accent1"/>
          </a:solidFill>
          <a:ln w="28575" cap="rnd">
            <a:solidFill>
              <a:schemeClr val="accent4"/>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8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85"/>
        <c:spPr>
          <a:solidFill>
            <a:schemeClr val="accent1"/>
          </a:solidFill>
          <a:ln w="28575" cap="rnd">
            <a:solidFill>
              <a:schemeClr val="accent5"/>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
        <c:idx val="186"/>
        <c:spPr>
          <a:solidFill>
            <a:schemeClr val="accent1"/>
          </a:solidFill>
          <a:ln w="28575" cap="rnd">
            <a:solidFill>
              <a:srgbClr val="92D050"/>
            </a:solidFill>
            <a:round/>
          </a:ln>
          <a:effectLst/>
        </c:spPr>
        <c:marker>
          <c:symbol val="none"/>
        </c:marker>
        <c:dLbl>
          <c:idx val="0"/>
          <c:delete val="1"/>
          <c:extLst>
            <c:ext xmlns:c15="http://schemas.microsoft.com/office/drawing/2012/chart" uri="{CE6537A1-D6FC-4f65-9D91-7224C49458BB}"/>
          </c:extLst>
        </c:dLbl>
      </c:pivotFmt>
      <c:pivotFmt>
        <c:idx val="187"/>
        <c:spPr>
          <a:solidFill>
            <a:schemeClr val="accent1"/>
          </a:solidFill>
          <a:ln w="28575" cap="rnd">
            <a:solidFill>
              <a:srgbClr val="92D050"/>
            </a:solidFill>
            <a:round/>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pivotFmt>
    </c:pivotFmts>
    <c:plotArea>
      <c:layout>
        <c:manualLayout>
          <c:layoutTarget val="inner"/>
          <c:xMode val="edge"/>
          <c:yMode val="edge"/>
          <c:x val="9.3653827684922503E-2"/>
          <c:y val="7.3956879421080118E-2"/>
          <c:w val="0.82311288948802952"/>
          <c:h val="0.79753619944793674"/>
        </c:manualLayout>
      </c:layout>
      <c:lineChart>
        <c:grouping val="standard"/>
        <c:ser>
          <c:idx val="0"/>
          <c:order val="0"/>
          <c:tx>
            <c:strRef>
              <c:f>'Arb indeks fylker '!$F$23:$F$24</c:f>
              <c:strCache>
                <c:ptCount val="1"/>
                <c:pt idx="0">
                  <c:v>Norge</c:v>
                </c:pt>
              </c:strCache>
            </c:strRef>
          </c:tx>
          <c:spPr>
            <a:ln w="28575" cap="rnd">
              <a:solidFill>
                <a:sysClr val="windowText" lastClr="000000"/>
              </a:solidFill>
              <a:prstDash val="sysDot"/>
              <a:round/>
            </a:ln>
            <a:effectLst/>
          </c:spPr>
          <c:marker>
            <c:symbol val="none"/>
          </c:marker>
          <c:dLbls>
            <c:dLbl>
              <c:idx val="13"/>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 indeks fylker '!$E$25:$E$38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'Arb indeks fylker '!$F$25:$F$38</c:f>
              <c:numCache>
                <c:formatCode>General</c:formatCode>
                <c:ptCount val="14"/>
                <c:pt idx="0">
                  <c:v>100</c:v>
                </c:pt>
                <c:pt idx="1">
                  <c:v>100.57471264367815</c:v>
                </c:pt>
                <c:pt idx="2">
                  <c:v>100.22104332449157</c:v>
                </c:pt>
                <c:pt idx="3">
                  <c:v>99.911582670203401</c:v>
                </c:pt>
                <c:pt idx="4">
                  <c:v>100.53050397877986</c:v>
                </c:pt>
                <c:pt idx="5">
                  <c:v>102.03359858532272</c:v>
                </c:pt>
                <c:pt idx="6">
                  <c:v>105.61450044208665</c:v>
                </c:pt>
                <c:pt idx="7">
                  <c:v>109.81432360742708</c:v>
                </c:pt>
                <c:pt idx="8">
                  <c:v>111.62687886825813</c:v>
                </c:pt>
                <c:pt idx="9">
                  <c:v>110.38903625110521</c:v>
                </c:pt>
                <c:pt idx="10">
                  <c:v>111.27320954907162</c:v>
                </c:pt>
                <c:pt idx="11">
                  <c:v>113.26259946949602</c:v>
                </c:pt>
                <c:pt idx="12">
                  <c:v>114.4562334217507</c:v>
                </c:pt>
                <c:pt idx="13">
                  <c:v>115.78249336870026</c:v>
                </c:pt>
              </c:numCache>
            </c:numRef>
          </c:val>
        </c:ser>
        <c:ser>
          <c:idx val="1"/>
          <c:order val="1"/>
          <c:tx>
            <c:strRef>
              <c:f>'Arb indeks fylker '!$G$23:$G$24</c:f>
              <c:strCache>
                <c:ptCount val="1"/>
                <c:pt idx="0">
                  <c:v>Indre Østfold</c:v>
                </c:pt>
              </c:strCache>
            </c:strRef>
          </c:tx>
          <c:spPr>
            <a:ln w="28575" cap="rnd">
              <a:solidFill>
                <a:schemeClr val="accent2"/>
              </a:solidFill>
              <a:round/>
            </a:ln>
            <a:effectLst/>
          </c:spPr>
          <c:marker>
            <c:symbol val="none"/>
          </c:marker>
          <c:dLbls>
            <c:dLbl>
              <c:idx val="13"/>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 indeks fylker '!$E$25:$E$38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'Arb indeks fylker '!$G$25:$G$38</c:f>
              <c:numCache>
                <c:formatCode>General</c:formatCode>
                <c:ptCount val="14"/>
                <c:pt idx="0">
                  <c:v>100</c:v>
                </c:pt>
                <c:pt idx="1">
                  <c:v>101.8408704171608</c:v>
                </c:pt>
                <c:pt idx="2">
                  <c:v>100.46924147888413</c:v>
                </c:pt>
                <c:pt idx="3">
                  <c:v>101.2788119424534</c:v>
                </c:pt>
                <c:pt idx="4">
                  <c:v>103.33109885010055</c:v>
                </c:pt>
                <c:pt idx="5">
                  <c:v>104.87804878048775</c:v>
                </c:pt>
                <c:pt idx="6">
                  <c:v>107.86881864590316</c:v>
                </c:pt>
                <c:pt idx="7">
                  <c:v>110.38519053266637</c:v>
                </c:pt>
                <c:pt idx="8">
                  <c:v>113.74722838137478</c:v>
                </c:pt>
                <c:pt idx="9">
                  <c:v>112.05589645748458</c:v>
                </c:pt>
                <c:pt idx="10">
                  <c:v>112.3446604444903</c:v>
                </c:pt>
                <c:pt idx="11">
                  <c:v>112.25699994843502</c:v>
                </c:pt>
                <c:pt idx="12">
                  <c:v>110.99365750528544</c:v>
                </c:pt>
                <c:pt idx="13">
                  <c:v>111.38555148765018</c:v>
                </c:pt>
              </c:numCache>
            </c:numRef>
          </c:val>
        </c:ser>
        <c:ser>
          <c:idx val="2"/>
          <c:order val="2"/>
          <c:tx>
            <c:strRef>
              <c:f>'Arb indeks fylker '!$H$23:$H$24</c:f>
              <c:strCache>
                <c:ptCount val="1"/>
                <c:pt idx="0">
                  <c:v>Øvre Romerike</c:v>
                </c:pt>
              </c:strCache>
            </c:strRef>
          </c:tx>
          <c:spPr>
            <a:ln w="28575" cap="rnd">
              <a:solidFill>
                <a:schemeClr val="accent3"/>
              </a:solidFill>
              <a:round/>
            </a:ln>
            <a:effectLst/>
          </c:spPr>
          <c:marker>
            <c:symbol val="none"/>
          </c:marker>
          <c:dLbls>
            <c:dLbl>
              <c:idx val="13"/>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 indeks fylker '!$E$25:$E$38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'Arb indeks fylker '!$H$25:$H$38</c:f>
              <c:numCache>
                <c:formatCode>General</c:formatCode>
                <c:ptCount val="14"/>
                <c:pt idx="0">
                  <c:v>100</c:v>
                </c:pt>
                <c:pt idx="1">
                  <c:v>105.59549192811453</c:v>
                </c:pt>
                <c:pt idx="2">
                  <c:v>102.64696923545537</c:v>
                </c:pt>
                <c:pt idx="3">
                  <c:v>102.96070667072799</c:v>
                </c:pt>
                <c:pt idx="4">
                  <c:v>104.08467864757843</c:v>
                </c:pt>
                <c:pt idx="5">
                  <c:v>107.15199512640874</c:v>
                </c:pt>
                <c:pt idx="6">
                  <c:v>109.69844654279616</c:v>
                </c:pt>
                <c:pt idx="7">
                  <c:v>114.11818458726776</c:v>
                </c:pt>
                <c:pt idx="8">
                  <c:v>118.9186719463905</c:v>
                </c:pt>
                <c:pt idx="9">
                  <c:v>118.02619555284801</c:v>
                </c:pt>
                <c:pt idx="10">
                  <c:v>117.47791653975023</c:v>
                </c:pt>
                <c:pt idx="11">
                  <c:v>121.59000913798353</c:v>
                </c:pt>
                <c:pt idx="12">
                  <c:v>123.92324093816632</c:v>
                </c:pt>
                <c:pt idx="13">
                  <c:v>125.22692659153213</c:v>
                </c:pt>
              </c:numCache>
            </c:numRef>
          </c:val>
        </c:ser>
        <c:ser>
          <c:idx val="3"/>
          <c:order val="3"/>
          <c:tx>
            <c:strRef>
              <c:f>'Arb indeks fylker '!$I$23:$I$24</c:f>
              <c:strCache>
                <c:ptCount val="1"/>
                <c:pt idx="0">
                  <c:v>Glåmdal</c:v>
                </c:pt>
              </c:strCache>
            </c:strRef>
          </c:tx>
          <c:spPr>
            <a:ln w="28575" cap="rnd">
              <a:solidFill>
                <a:schemeClr val="accent4"/>
              </a:solidFill>
              <a:round/>
            </a:ln>
            <a:effectLst/>
          </c:spPr>
          <c:marker>
            <c:symbol val="none"/>
          </c:marker>
          <c:dLbls>
            <c:dLbl>
              <c:idx val="13"/>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 indeks fylker '!$E$25:$E$38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'Arb indeks fylker '!$I$25:$I$38</c:f>
              <c:numCache>
                <c:formatCode>General</c:formatCode>
                <c:ptCount val="14"/>
                <c:pt idx="0">
                  <c:v>100</c:v>
                </c:pt>
                <c:pt idx="1">
                  <c:v>101.54760193570029</c:v>
                </c:pt>
                <c:pt idx="2">
                  <c:v>99.726893776052862</c:v>
                </c:pt>
                <c:pt idx="3">
                  <c:v>98.567390158593241</c:v>
                </c:pt>
                <c:pt idx="4">
                  <c:v>100.35455895740499</c:v>
                </c:pt>
                <c:pt idx="5">
                  <c:v>98.438024052513057</c:v>
                </c:pt>
                <c:pt idx="6">
                  <c:v>100.58454314599207</c:v>
                </c:pt>
                <c:pt idx="7">
                  <c:v>102.21838915241241</c:v>
                </c:pt>
                <c:pt idx="8">
                  <c:v>103.76119975085049</c:v>
                </c:pt>
                <c:pt idx="9">
                  <c:v>100.2874802357338</c:v>
                </c:pt>
                <c:pt idx="10">
                  <c:v>99.281299410665525</c:v>
                </c:pt>
                <c:pt idx="11">
                  <c:v>98.548224809544337</c:v>
                </c:pt>
                <c:pt idx="12">
                  <c:v>99.42024819127019</c:v>
                </c:pt>
                <c:pt idx="13">
                  <c:v>98.05471707153464</c:v>
                </c:pt>
              </c:numCache>
            </c:numRef>
          </c:val>
        </c:ser>
        <c:ser>
          <c:idx val="4"/>
          <c:order val="4"/>
          <c:tx>
            <c:strRef>
              <c:f>'Arb indeks fylker '!$J$23:$J$24</c:f>
              <c:strCache>
                <c:ptCount val="1"/>
                <c:pt idx="0">
                  <c:v>Hamarregionen</c:v>
                </c:pt>
              </c:strCache>
            </c:strRef>
          </c:tx>
          <c:spPr>
            <a:ln w="28575" cap="rnd">
              <a:solidFill>
                <a:schemeClr val="accent5"/>
              </a:solidFill>
              <a:round/>
            </a:ln>
            <a:effectLst/>
          </c:spPr>
          <c:marker>
            <c:symbol val="none"/>
          </c:marker>
          <c:dLbls>
            <c:dLbl>
              <c:idx val="13"/>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 indeks fylker '!$E$25:$E$38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'Arb indeks fylker '!$J$25:$J$38</c:f>
              <c:numCache>
                <c:formatCode>General</c:formatCode>
                <c:ptCount val="14"/>
                <c:pt idx="0">
                  <c:v>100</c:v>
                </c:pt>
                <c:pt idx="1">
                  <c:v>100.6181227186742</c:v>
                </c:pt>
                <c:pt idx="2">
                  <c:v>100.94849865451738</c:v>
                </c:pt>
                <c:pt idx="3">
                  <c:v>101.04441424879442</c:v>
                </c:pt>
                <c:pt idx="4">
                  <c:v>102.54975621453119</c:v>
                </c:pt>
                <c:pt idx="5">
                  <c:v>101.95028375029973</c:v>
                </c:pt>
                <c:pt idx="6">
                  <c:v>105.48051048410737</c:v>
                </c:pt>
                <c:pt idx="7">
                  <c:v>108.53115924652973</c:v>
                </c:pt>
                <c:pt idx="8">
                  <c:v>109.97788612687501</c:v>
                </c:pt>
                <c:pt idx="9">
                  <c:v>107.66259025390987</c:v>
                </c:pt>
                <c:pt idx="10">
                  <c:v>108.58977433192121</c:v>
                </c:pt>
                <c:pt idx="11">
                  <c:v>110.07646604321532</c:v>
                </c:pt>
                <c:pt idx="12">
                  <c:v>111.87754775797298</c:v>
                </c:pt>
                <c:pt idx="13">
                  <c:v>112.59691471505076</c:v>
                </c:pt>
              </c:numCache>
            </c:numRef>
          </c:val>
        </c:ser>
        <c:ser>
          <c:idx val="5"/>
          <c:order val="5"/>
          <c:tx>
            <c:strRef>
              <c:f>'Arb indeks fylker '!$K$23:$K$24</c:f>
              <c:strCache>
                <c:ptCount val="1"/>
                <c:pt idx="0">
                  <c:v>Sør Østerdal</c:v>
                </c:pt>
              </c:strCache>
            </c:strRef>
          </c:tx>
          <c:spPr>
            <a:ln w="28575" cap="rnd">
              <a:solidFill>
                <a:srgbClr val="92D050"/>
              </a:solidFill>
              <a:round/>
            </a:ln>
            <a:effectLst/>
          </c:spPr>
          <c:marker>
            <c:symbol val="none"/>
          </c:marker>
          <c:dLbls>
            <c:dLbl>
              <c:idx val="13"/>
              <c:showVal val="1"/>
              <c:extLst>
                <c:ext xmlns:c15="http://schemas.microsoft.com/office/drawing/2012/chart" uri="{CE6537A1-D6FC-4f65-9D91-7224C49458BB}">
                  <c15:layout/>
                </c:ext>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 indeks fylker '!$E$25:$E$38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'Arb indeks fylker '!$K$25:$K$38</c:f>
              <c:numCache>
                <c:formatCode>General</c:formatCode>
                <c:ptCount val="14"/>
                <c:pt idx="0">
                  <c:v>100</c:v>
                </c:pt>
                <c:pt idx="1">
                  <c:v>100.56602517147233</c:v>
                </c:pt>
                <c:pt idx="2">
                  <c:v>100.09322767530136</c:v>
                </c:pt>
                <c:pt idx="3">
                  <c:v>99.940067923020592</c:v>
                </c:pt>
                <c:pt idx="4">
                  <c:v>102.20416860890992</c:v>
                </c:pt>
                <c:pt idx="5">
                  <c:v>101.79796230938273</c:v>
                </c:pt>
                <c:pt idx="6">
                  <c:v>102.59039754944395</c:v>
                </c:pt>
                <c:pt idx="7">
                  <c:v>106.97209828860625</c:v>
                </c:pt>
                <c:pt idx="8">
                  <c:v>109.34940400879003</c:v>
                </c:pt>
                <c:pt idx="9">
                  <c:v>108.37717253779044</c:v>
                </c:pt>
                <c:pt idx="10">
                  <c:v>109.52254112006389</c:v>
                </c:pt>
                <c:pt idx="11">
                  <c:v>108.04421655457149</c:v>
                </c:pt>
                <c:pt idx="12">
                  <c:v>108.49037757208491</c:v>
                </c:pt>
                <c:pt idx="13">
                  <c:v>109.17626689751611</c:v>
                </c:pt>
              </c:numCache>
            </c:numRef>
          </c:val>
        </c:ser>
        <c:marker val="1"/>
        <c:axId val="218915584"/>
        <c:axId val="218917120"/>
      </c:lineChart>
      <c:catAx>
        <c:axId val="2189155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18917120"/>
        <c:crosses val="autoZero"/>
        <c:auto val="1"/>
        <c:lblAlgn val="ctr"/>
        <c:lblOffset val="100"/>
      </c:catAx>
      <c:valAx>
        <c:axId val="218917120"/>
        <c:scaling>
          <c:orientation val="minMax"/>
          <c:min val="9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18915584"/>
        <c:crosses val="autoZero"/>
        <c:crossBetween val="between"/>
      </c:valAx>
      <c:spPr>
        <a:noFill/>
        <a:ln>
          <a:noFill/>
        </a:ln>
        <a:effectLst/>
      </c:spPr>
    </c:plotArea>
    <c:legend>
      <c:legendPos val="t"/>
      <c:layout>
        <c:manualLayout>
          <c:xMode val="edge"/>
          <c:yMode val="edge"/>
          <c:x val="0.11183349804053511"/>
          <c:y val="4.8234280792420328E-2"/>
          <c:w val="0.51094490919949975"/>
          <c:h val="0.2921305269533616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269328277979433"/>
          <c:y val="3.7285567389943895E-2"/>
          <c:w val="0.38908162038497152"/>
          <c:h val="0.91093407599542009"/>
        </c:manualLayout>
      </c:layout>
      <c:barChart>
        <c:barDir val="bar"/>
        <c:grouping val="stacked"/>
        <c:ser>
          <c:idx val="0"/>
          <c:order val="0"/>
          <c:tx>
            <c:strRef>
              <c:f>'indeks nyet region figur'!$D$1</c:f>
              <c:strCache>
                <c:ptCount val="1"/>
                <c:pt idx="0">
                  <c:v>Frekvens</c:v>
                </c:pt>
              </c:strCache>
            </c:strRef>
          </c:tx>
          <c:spPr>
            <a:solidFill>
              <a:srgbClr val="C00000"/>
            </a:solidFill>
            <a:ln>
              <a:noFill/>
            </a:ln>
            <a:effectLst/>
          </c:spPr>
          <c:dLbls>
            <c:dLbl>
              <c:idx val="11"/>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'indeks nyet region figur'!$B$2:$C$30</c:f>
              <c:multiLvlStrCache>
                <c:ptCount val="29"/>
                <c:lvl>
                  <c:pt idx="0">
                    <c:v>Fjellregionen (80)</c:v>
                  </c:pt>
                  <c:pt idx="1">
                    <c:v>Vest-Telemark (69)</c:v>
                  </c:pt>
                  <c:pt idx="2">
                    <c:v>Øst-Telemark (41)</c:v>
                  </c:pt>
                  <c:pt idx="3">
                    <c:v>Nord-Gudbrandsdal (79)</c:v>
                  </c:pt>
                  <c:pt idx="4">
                    <c:v>Hallingdal (59)</c:v>
                  </c:pt>
                  <c:pt idx="5">
                    <c:v>Valdres (73)</c:v>
                  </c:pt>
                  <c:pt idx="6">
                    <c:v>Midt-Gudbrandsdal (78)</c:v>
                  </c:pt>
                  <c:pt idx="7">
                    <c:v>Kongsberg/Numedal (36)</c:v>
                  </c:pt>
                  <c:pt idx="8">
                    <c:v>Midt-Buskerud (60)</c:v>
                  </c:pt>
                  <c:pt idx="9">
                    <c:v>Sandefjord/Larvik (23)</c:v>
                  </c:pt>
                  <c:pt idx="10">
                    <c:v>Midt-Telemark (45)</c:v>
                  </c:pt>
                  <c:pt idx="11">
                    <c:v>Glåmdal (65)</c:v>
                  </c:pt>
                  <c:pt idx="12">
                    <c:v>Indre Østfold (42)</c:v>
                  </c:pt>
                  <c:pt idx="13">
                    <c:v>Hadeland (38)</c:v>
                  </c:pt>
                  <c:pt idx="14">
                    <c:v>Gjøvikregionen (40)</c:v>
                  </c:pt>
                  <c:pt idx="15">
                    <c:v>Ringerike/Hole (24)</c:v>
                  </c:pt>
                  <c:pt idx="16">
                    <c:v>Lillehammerregionen (28)</c:v>
                  </c:pt>
                  <c:pt idx="17">
                    <c:v>Sør Østerdal (51)</c:v>
                  </c:pt>
                  <c:pt idx="18">
                    <c:v>Vestviken (8)</c:v>
                  </c:pt>
                  <c:pt idx="19">
                    <c:v>Grenland (15)</c:v>
                  </c:pt>
                  <c:pt idx="20">
                    <c:v>Hamarregionen (26)</c:v>
                  </c:pt>
                  <c:pt idx="21">
                    <c:v>Tønsbergregionen (13)</c:v>
                  </c:pt>
                  <c:pt idx="22">
                    <c:v>Mosseregionen (11)</c:v>
                  </c:pt>
                  <c:pt idx="23">
                    <c:v>Follo (6)</c:v>
                  </c:pt>
                  <c:pt idx="24">
                    <c:v>Nedre Glomma (9)</c:v>
                  </c:pt>
                  <c:pt idx="25">
                    <c:v>Drammensregionen (7)</c:v>
                  </c:pt>
                  <c:pt idx="26">
                    <c:v>Halden (16)</c:v>
                  </c:pt>
                  <c:pt idx="27">
                    <c:v>Øvre Romerike (10)</c:v>
                  </c:pt>
                  <c:pt idx="28">
                    <c:v>Osloregionen (1)</c:v>
                  </c:pt>
                </c:lvl>
                <c:lvl>
                  <c:pt idx="0">
                    <c:v>75</c:v>
                  </c:pt>
                  <c:pt idx="1">
                    <c:v>72</c:v>
                  </c:pt>
                  <c:pt idx="2">
                    <c:v>71</c:v>
                  </c:pt>
                  <c:pt idx="3">
                    <c:v>68</c:v>
                  </c:pt>
                  <c:pt idx="4">
                    <c:v>64</c:v>
                  </c:pt>
                  <c:pt idx="5">
                    <c:v>59</c:v>
                  </c:pt>
                  <c:pt idx="6">
                    <c:v>58</c:v>
                  </c:pt>
                  <c:pt idx="7">
                    <c:v>55</c:v>
                  </c:pt>
                  <c:pt idx="8">
                    <c:v>53</c:v>
                  </c:pt>
                  <c:pt idx="9">
                    <c:v>50</c:v>
                  </c:pt>
                  <c:pt idx="10">
                    <c:v>49</c:v>
                  </c:pt>
                  <c:pt idx="11">
                    <c:v>39</c:v>
                  </c:pt>
                  <c:pt idx="12">
                    <c:v>35</c:v>
                  </c:pt>
                  <c:pt idx="13">
                    <c:v>35</c:v>
                  </c:pt>
                  <c:pt idx="14">
                    <c:v>32</c:v>
                  </c:pt>
                  <c:pt idx="15">
                    <c:v>28</c:v>
                  </c:pt>
                  <c:pt idx="16">
                    <c:v>27</c:v>
                  </c:pt>
                  <c:pt idx="17">
                    <c:v>25</c:v>
                  </c:pt>
                  <c:pt idx="18">
                    <c:v>24</c:v>
                  </c:pt>
                  <c:pt idx="19">
                    <c:v>18</c:v>
                  </c:pt>
                  <c:pt idx="20">
                    <c:v>17</c:v>
                  </c:pt>
                  <c:pt idx="21">
                    <c:v>16</c:v>
                  </c:pt>
                  <c:pt idx="22">
                    <c:v>15</c:v>
                  </c:pt>
                  <c:pt idx="23">
                    <c:v>13</c:v>
                  </c:pt>
                  <c:pt idx="24">
                    <c:v>11</c:v>
                  </c:pt>
                  <c:pt idx="25">
                    <c:v>6</c:v>
                  </c:pt>
                  <c:pt idx="26">
                    <c:v>5</c:v>
                  </c:pt>
                  <c:pt idx="27">
                    <c:v>2</c:v>
                  </c:pt>
                  <c:pt idx="28">
                    <c:v>2</c:v>
                  </c:pt>
                </c:lvl>
              </c:multiLvlStrCache>
            </c:multiLvlStrRef>
          </c:cat>
          <c:val>
            <c:numRef>
              <c:f>'indeks nyet region figur'!$D$2:$D$30</c:f>
              <c:numCache>
                <c:formatCode>General</c:formatCode>
                <c:ptCount val="29"/>
                <c:pt idx="0">
                  <c:v>77</c:v>
                </c:pt>
                <c:pt idx="1">
                  <c:v>75</c:v>
                </c:pt>
                <c:pt idx="2">
                  <c:v>60</c:v>
                </c:pt>
                <c:pt idx="3">
                  <c:v>72</c:v>
                </c:pt>
                <c:pt idx="4">
                  <c:v>64</c:v>
                </c:pt>
                <c:pt idx="5">
                  <c:v>71</c:v>
                </c:pt>
                <c:pt idx="6">
                  <c:v>61</c:v>
                </c:pt>
                <c:pt idx="7">
                  <c:v>45</c:v>
                </c:pt>
                <c:pt idx="8">
                  <c:v>63</c:v>
                </c:pt>
                <c:pt idx="9">
                  <c:v>36</c:v>
                </c:pt>
                <c:pt idx="10">
                  <c:v>50</c:v>
                </c:pt>
                <c:pt idx="11">
                  <c:v>46</c:v>
                </c:pt>
                <c:pt idx="12">
                  <c:v>41</c:v>
                </c:pt>
                <c:pt idx="13">
                  <c:v>35</c:v>
                </c:pt>
                <c:pt idx="14">
                  <c:v>33</c:v>
                </c:pt>
                <c:pt idx="15">
                  <c:v>26</c:v>
                </c:pt>
                <c:pt idx="16">
                  <c:v>24</c:v>
                </c:pt>
                <c:pt idx="17">
                  <c:v>28</c:v>
                </c:pt>
                <c:pt idx="18">
                  <c:v>18</c:v>
                </c:pt>
                <c:pt idx="19">
                  <c:v>15</c:v>
                </c:pt>
                <c:pt idx="20">
                  <c:v>19</c:v>
                </c:pt>
                <c:pt idx="21">
                  <c:v>16</c:v>
                </c:pt>
                <c:pt idx="22">
                  <c:v>12</c:v>
                </c:pt>
                <c:pt idx="23">
                  <c:v>11</c:v>
                </c:pt>
                <c:pt idx="24">
                  <c:v>8</c:v>
                </c:pt>
                <c:pt idx="25">
                  <c:v>6</c:v>
                </c:pt>
                <c:pt idx="26">
                  <c:v>5</c:v>
                </c:pt>
                <c:pt idx="27">
                  <c:v>3</c:v>
                </c:pt>
                <c:pt idx="28">
                  <c:v>2</c:v>
                </c:pt>
              </c:numCache>
            </c:numRef>
          </c:val>
        </c:ser>
        <c:ser>
          <c:idx val="1"/>
          <c:order val="1"/>
          <c:tx>
            <c:strRef>
              <c:f>'indeks nyet region figur'!$E$1</c:f>
              <c:strCache>
                <c:ptCount val="1"/>
                <c:pt idx="0">
                  <c:v>Bransjejustert</c:v>
                </c:pt>
              </c:strCache>
            </c:strRef>
          </c:tx>
          <c:spPr>
            <a:solidFill>
              <a:schemeClr val="bg1">
                <a:lumMod val="75000"/>
              </a:schemeClr>
            </a:solidFill>
            <a:ln>
              <a:noFill/>
            </a:ln>
            <a:effectLst/>
          </c:spPr>
          <c:dLbls>
            <c:dLbl>
              <c:idx val="11"/>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'indeks nyet region figur'!$B$2:$C$30</c:f>
              <c:multiLvlStrCache>
                <c:ptCount val="29"/>
                <c:lvl>
                  <c:pt idx="0">
                    <c:v>Fjellregionen (80)</c:v>
                  </c:pt>
                  <c:pt idx="1">
                    <c:v>Vest-Telemark (69)</c:v>
                  </c:pt>
                  <c:pt idx="2">
                    <c:v>Øst-Telemark (41)</c:v>
                  </c:pt>
                  <c:pt idx="3">
                    <c:v>Nord-Gudbrandsdal (79)</c:v>
                  </c:pt>
                  <c:pt idx="4">
                    <c:v>Hallingdal (59)</c:v>
                  </c:pt>
                  <c:pt idx="5">
                    <c:v>Valdres (73)</c:v>
                  </c:pt>
                  <c:pt idx="6">
                    <c:v>Midt-Gudbrandsdal (78)</c:v>
                  </c:pt>
                  <c:pt idx="7">
                    <c:v>Kongsberg/Numedal (36)</c:v>
                  </c:pt>
                  <c:pt idx="8">
                    <c:v>Midt-Buskerud (60)</c:v>
                  </c:pt>
                  <c:pt idx="9">
                    <c:v>Sandefjord/Larvik (23)</c:v>
                  </c:pt>
                  <c:pt idx="10">
                    <c:v>Midt-Telemark (45)</c:v>
                  </c:pt>
                  <c:pt idx="11">
                    <c:v>Glåmdal (65)</c:v>
                  </c:pt>
                  <c:pt idx="12">
                    <c:v>Indre Østfold (42)</c:v>
                  </c:pt>
                  <c:pt idx="13">
                    <c:v>Hadeland (38)</c:v>
                  </c:pt>
                  <c:pt idx="14">
                    <c:v>Gjøvikregionen (40)</c:v>
                  </c:pt>
                  <c:pt idx="15">
                    <c:v>Ringerike/Hole (24)</c:v>
                  </c:pt>
                  <c:pt idx="16">
                    <c:v>Lillehammerregionen (28)</c:v>
                  </c:pt>
                  <c:pt idx="17">
                    <c:v>Sør Østerdal (51)</c:v>
                  </c:pt>
                  <c:pt idx="18">
                    <c:v>Vestviken (8)</c:v>
                  </c:pt>
                  <c:pt idx="19">
                    <c:v>Grenland (15)</c:v>
                  </c:pt>
                  <c:pt idx="20">
                    <c:v>Hamarregionen (26)</c:v>
                  </c:pt>
                  <c:pt idx="21">
                    <c:v>Tønsbergregionen (13)</c:v>
                  </c:pt>
                  <c:pt idx="22">
                    <c:v>Mosseregionen (11)</c:v>
                  </c:pt>
                  <c:pt idx="23">
                    <c:v>Follo (6)</c:v>
                  </c:pt>
                  <c:pt idx="24">
                    <c:v>Nedre Glomma (9)</c:v>
                  </c:pt>
                  <c:pt idx="25">
                    <c:v>Drammensregionen (7)</c:v>
                  </c:pt>
                  <c:pt idx="26">
                    <c:v>Halden (16)</c:v>
                  </c:pt>
                  <c:pt idx="27">
                    <c:v>Øvre Romerike (10)</c:v>
                  </c:pt>
                  <c:pt idx="28">
                    <c:v>Osloregionen (1)</c:v>
                  </c:pt>
                </c:lvl>
                <c:lvl>
                  <c:pt idx="0">
                    <c:v>75</c:v>
                  </c:pt>
                  <c:pt idx="1">
                    <c:v>72</c:v>
                  </c:pt>
                  <c:pt idx="2">
                    <c:v>71</c:v>
                  </c:pt>
                  <c:pt idx="3">
                    <c:v>68</c:v>
                  </c:pt>
                  <c:pt idx="4">
                    <c:v>64</c:v>
                  </c:pt>
                  <c:pt idx="5">
                    <c:v>59</c:v>
                  </c:pt>
                  <c:pt idx="6">
                    <c:v>58</c:v>
                  </c:pt>
                  <c:pt idx="7">
                    <c:v>55</c:v>
                  </c:pt>
                  <c:pt idx="8">
                    <c:v>53</c:v>
                  </c:pt>
                  <c:pt idx="9">
                    <c:v>50</c:v>
                  </c:pt>
                  <c:pt idx="10">
                    <c:v>49</c:v>
                  </c:pt>
                  <c:pt idx="11">
                    <c:v>39</c:v>
                  </c:pt>
                  <c:pt idx="12">
                    <c:v>35</c:v>
                  </c:pt>
                  <c:pt idx="13">
                    <c:v>35</c:v>
                  </c:pt>
                  <c:pt idx="14">
                    <c:v>32</c:v>
                  </c:pt>
                  <c:pt idx="15">
                    <c:v>28</c:v>
                  </c:pt>
                  <c:pt idx="16">
                    <c:v>27</c:v>
                  </c:pt>
                  <c:pt idx="17">
                    <c:v>25</c:v>
                  </c:pt>
                  <c:pt idx="18">
                    <c:v>24</c:v>
                  </c:pt>
                  <c:pt idx="19">
                    <c:v>18</c:v>
                  </c:pt>
                  <c:pt idx="20">
                    <c:v>17</c:v>
                  </c:pt>
                  <c:pt idx="21">
                    <c:v>16</c:v>
                  </c:pt>
                  <c:pt idx="22">
                    <c:v>15</c:v>
                  </c:pt>
                  <c:pt idx="23">
                    <c:v>13</c:v>
                  </c:pt>
                  <c:pt idx="24">
                    <c:v>11</c:v>
                  </c:pt>
                  <c:pt idx="25">
                    <c:v>6</c:v>
                  </c:pt>
                  <c:pt idx="26">
                    <c:v>5</c:v>
                  </c:pt>
                  <c:pt idx="27">
                    <c:v>2</c:v>
                  </c:pt>
                  <c:pt idx="28">
                    <c:v>2</c:v>
                  </c:pt>
                </c:lvl>
              </c:multiLvlStrCache>
            </c:multiLvlStrRef>
          </c:cat>
          <c:val>
            <c:numRef>
              <c:f>'indeks nyet region figur'!$E$2:$E$30</c:f>
              <c:numCache>
                <c:formatCode>General</c:formatCode>
                <c:ptCount val="29"/>
                <c:pt idx="0">
                  <c:v>70</c:v>
                </c:pt>
                <c:pt idx="1">
                  <c:v>78</c:v>
                </c:pt>
                <c:pt idx="2">
                  <c:v>74</c:v>
                </c:pt>
                <c:pt idx="3">
                  <c:v>53</c:v>
                </c:pt>
                <c:pt idx="4">
                  <c:v>76</c:v>
                </c:pt>
                <c:pt idx="5">
                  <c:v>64</c:v>
                </c:pt>
                <c:pt idx="6">
                  <c:v>42</c:v>
                </c:pt>
                <c:pt idx="7">
                  <c:v>59</c:v>
                </c:pt>
                <c:pt idx="8">
                  <c:v>69</c:v>
                </c:pt>
                <c:pt idx="9">
                  <c:v>72</c:v>
                </c:pt>
                <c:pt idx="10">
                  <c:v>48</c:v>
                </c:pt>
                <c:pt idx="11">
                  <c:v>33</c:v>
                </c:pt>
                <c:pt idx="12">
                  <c:v>49</c:v>
                </c:pt>
                <c:pt idx="13">
                  <c:v>45</c:v>
                </c:pt>
                <c:pt idx="14">
                  <c:v>28</c:v>
                </c:pt>
                <c:pt idx="15">
                  <c:v>35</c:v>
                </c:pt>
                <c:pt idx="16">
                  <c:v>13</c:v>
                </c:pt>
                <c:pt idx="17">
                  <c:v>19</c:v>
                </c:pt>
                <c:pt idx="18">
                  <c:v>39</c:v>
                </c:pt>
                <c:pt idx="19">
                  <c:v>29</c:v>
                </c:pt>
                <c:pt idx="20">
                  <c:v>12</c:v>
                </c:pt>
                <c:pt idx="21">
                  <c:v>31</c:v>
                </c:pt>
                <c:pt idx="22">
                  <c:v>18</c:v>
                </c:pt>
                <c:pt idx="23">
                  <c:v>30</c:v>
                </c:pt>
                <c:pt idx="24">
                  <c:v>17</c:v>
                </c:pt>
                <c:pt idx="25">
                  <c:v>9</c:v>
                </c:pt>
                <c:pt idx="26">
                  <c:v>3</c:v>
                </c:pt>
                <c:pt idx="27">
                  <c:v>1</c:v>
                </c:pt>
                <c:pt idx="28">
                  <c:v>5</c:v>
                </c:pt>
              </c:numCache>
            </c:numRef>
          </c:val>
        </c:ser>
        <c:ser>
          <c:idx val="2"/>
          <c:order val="2"/>
          <c:tx>
            <c:strRef>
              <c:f>'indeks nyet region figur'!$F$1</c:f>
              <c:strCache>
                <c:ptCount val="1"/>
                <c:pt idx="0">
                  <c:v>Vekst antall</c:v>
                </c:pt>
              </c:strCache>
            </c:strRef>
          </c:tx>
          <c:spPr>
            <a:solidFill>
              <a:schemeClr val="accent3"/>
            </a:solidFill>
            <a:ln>
              <a:noFill/>
            </a:ln>
            <a:effectLst/>
          </c:spPr>
          <c:dLbls>
            <c:dLbl>
              <c:idx val="11"/>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'indeks nyet region figur'!$B$2:$C$30</c:f>
              <c:multiLvlStrCache>
                <c:ptCount val="29"/>
                <c:lvl>
                  <c:pt idx="0">
                    <c:v>Fjellregionen (80)</c:v>
                  </c:pt>
                  <c:pt idx="1">
                    <c:v>Vest-Telemark (69)</c:v>
                  </c:pt>
                  <c:pt idx="2">
                    <c:v>Øst-Telemark (41)</c:v>
                  </c:pt>
                  <c:pt idx="3">
                    <c:v>Nord-Gudbrandsdal (79)</c:v>
                  </c:pt>
                  <c:pt idx="4">
                    <c:v>Hallingdal (59)</c:v>
                  </c:pt>
                  <c:pt idx="5">
                    <c:v>Valdres (73)</c:v>
                  </c:pt>
                  <c:pt idx="6">
                    <c:v>Midt-Gudbrandsdal (78)</c:v>
                  </c:pt>
                  <c:pt idx="7">
                    <c:v>Kongsberg/Numedal (36)</c:v>
                  </c:pt>
                  <c:pt idx="8">
                    <c:v>Midt-Buskerud (60)</c:v>
                  </c:pt>
                  <c:pt idx="9">
                    <c:v>Sandefjord/Larvik (23)</c:v>
                  </c:pt>
                  <c:pt idx="10">
                    <c:v>Midt-Telemark (45)</c:v>
                  </c:pt>
                  <c:pt idx="11">
                    <c:v>Glåmdal (65)</c:v>
                  </c:pt>
                  <c:pt idx="12">
                    <c:v>Indre Østfold (42)</c:v>
                  </c:pt>
                  <c:pt idx="13">
                    <c:v>Hadeland (38)</c:v>
                  </c:pt>
                  <c:pt idx="14">
                    <c:v>Gjøvikregionen (40)</c:v>
                  </c:pt>
                  <c:pt idx="15">
                    <c:v>Ringerike/Hole (24)</c:v>
                  </c:pt>
                  <c:pt idx="16">
                    <c:v>Lillehammerregionen (28)</c:v>
                  </c:pt>
                  <c:pt idx="17">
                    <c:v>Sør Østerdal (51)</c:v>
                  </c:pt>
                  <c:pt idx="18">
                    <c:v>Vestviken (8)</c:v>
                  </c:pt>
                  <c:pt idx="19">
                    <c:v>Grenland (15)</c:v>
                  </c:pt>
                  <c:pt idx="20">
                    <c:v>Hamarregionen (26)</c:v>
                  </c:pt>
                  <c:pt idx="21">
                    <c:v>Tønsbergregionen (13)</c:v>
                  </c:pt>
                  <c:pt idx="22">
                    <c:v>Mosseregionen (11)</c:v>
                  </c:pt>
                  <c:pt idx="23">
                    <c:v>Follo (6)</c:v>
                  </c:pt>
                  <c:pt idx="24">
                    <c:v>Nedre Glomma (9)</c:v>
                  </c:pt>
                  <c:pt idx="25">
                    <c:v>Drammensregionen (7)</c:v>
                  </c:pt>
                  <c:pt idx="26">
                    <c:v>Halden (16)</c:v>
                  </c:pt>
                  <c:pt idx="27">
                    <c:v>Øvre Romerike (10)</c:v>
                  </c:pt>
                  <c:pt idx="28">
                    <c:v>Osloregionen (1)</c:v>
                  </c:pt>
                </c:lvl>
                <c:lvl>
                  <c:pt idx="0">
                    <c:v>75</c:v>
                  </c:pt>
                  <c:pt idx="1">
                    <c:v>72</c:v>
                  </c:pt>
                  <c:pt idx="2">
                    <c:v>71</c:v>
                  </c:pt>
                  <c:pt idx="3">
                    <c:v>68</c:v>
                  </c:pt>
                  <c:pt idx="4">
                    <c:v>64</c:v>
                  </c:pt>
                  <c:pt idx="5">
                    <c:v>59</c:v>
                  </c:pt>
                  <c:pt idx="6">
                    <c:v>58</c:v>
                  </c:pt>
                  <c:pt idx="7">
                    <c:v>55</c:v>
                  </c:pt>
                  <c:pt idx="8">
                    <c:v>53</c:v>
                  </c:pt>
                  <c:pt idx="9">
                    <c:v>50</c:v>
                  </c:pt>
                  <c:pt idx="10">
                    <c:v>49</c:v>
                  </c:pt>
                  <c:pt idx="11">
                    <c:v>39</c:v>
                  </c:pt>
                  <c:pt idx="12">
                    <c:v>35</c:v>
                  </c:pt>
                  <c:pt idx="13">
                    <c:v>35</c:v>
                  </c:pt>
                  <c:pt idx="14">
                    <c:v>32</c:v>
                  </c:pt>
                  <c:pt idx="15">
                    <c:v>28</c:v>
                  </c:pt>
                  <c:pt idx="16">
                    <c:v>27</c:v>
                  </c:pt>
                  <c:pt idx="17">
                    <c:v>25</c:v>
                  </c:pt>
                  <c:pt idx="18">
                    <c:v>24</c:v>
                  </c:pt>
                  <c:pt idx="19">
                    <c:v>18</c:v>
                  </c:pt>
                  <c:pt idx="20">
                    <c:v>17</c:v>
                  </c:pt>
                  <c:pt idx="21">
                    <c:v>16</c:v>
                  </c:pt>
                  <c:pt idx="22">
                    <c:v>15</c:v>
                  </c:pt>
                  <c:pt idx="23">
                    <c:v>13</c:v>
                  </c:pt>
                  <c:pt idx="24">
                    <c:v>11</c:v>
                  </c:pt>
                  <c:pt idx="25">
                    <c:v>6</c:v>
                  </c:pt>
                  <c:pt idx="26">
                    <c:v>5</c:v>
                  </c:pt>
                  <c:pt idx="27">
                    <c:v>2</c:v>
                  </c:pt>
                  <c:pt idx="28">
                    <c:v>2</c:v>
                  </c:pt>
                </c:lvl>
              </c:multiLvlStrCache>
            </c:multiLvlStrRef>
          </c:cat>
          <c:val>
            <c:numRef>
              <c:f>'indeks nyet region figur'!$F$2:$F$30</c:f>
              <c:numCache>
                <c:formatCode>General</c:formatCode>
                <c:ptCount val="29"/>
                <c:pt idx="0">
                  <c:v>78</c:v>
                </c:pt>
                <c:pt idx="1">
                  <c:v>52</c:v>
                </c:pt>
                <c:pt idx="2">
                  <c:v>67</c:v>
                </c:pt>
                <c:pt idx="3">
                  <c:v>71</c:v>
                </c:pt>
                <c:pt idx="4">
                  <c:v>46</c:v>
                </c:pt>
                <c:pt idx="5">
                  <c:v>37</c:v>
                </c:pt>
                <c:pt idx="6">
                  <c:v>66</c:v>
                </c:pt>
                <c:pt idx="7">
                  <c:v>58</c:v>
                </c:pt>
                <c:pt idx="8">
                  <c:v>23</c:v>
                </c:pt>
                <c:pt idx="9">
                  <c:v>43</c:v>
                </c:pt>
                <c:pt idx="10">
                  <c:v>51</c:v>
                </c:pt>
                <c:pt idx="11">
                  <c:v>47</c:v>
                </c:pt>
                <c:pt idx="12">
                  <c:v>25</c:v>
                </c:pt>
                <c:pt idx="13">
                  <c:v>35</c:v>
                </c:pt>
                <c:pt idx="14">
                  <c:v>34</c:v>
                </c:pt>
                <c:pt idx="15">
                  <c:v>26</c:v>
                </c:pt>
                <c:pt idx="16">
                  <c:v>49</c:v>
                </c:pt>
                <c:pt idx="17">
                  <c:v>38</c:v>
                </c:pt>
                <c:pt idx="18">
                  <c:v>27</c:v>
                </c:pt>
                <c:pt idx="19">
                  <c:v>16</c:v>
                </c:pt>
                <c:pt idx="20">
                  <c:v>28</c:v>
                </c:pt>
                <c:pt idx="21">
                  <c:v>6</c:v>
                </c:pt>
                <c:pt idx="22">
                  <c:v>21</c:v>
                </c:pt>
                <c:pt idx="23">
                  <c:v>2</c:v>
                </c:pt>
                <c:pt idx="24">
                  <c:v>13</c:v>
                </c:pt>
                <c:pt idx="25">
                  <c:v>11</c:v>
                </c:pt>
                <c:pt idx="26">
                  <c:v>14</c:v>
                </c:pt>
                <c:pt idx="27">
                  <c:v>7</c:v>
                </c:pt>
                <c:pt idx="28">
                  <c:v>4</c:v>
                </c:pt>
              </c:numCache>
            </c:numRef>
          </c:val>
        </c:ser>
        <c:gapWidth val="30"/>
        <c:overlap val="100"/>
        <c:axId val="258895872"/>
        <c:axId val="258897408"/>
      </c:barChart>
      <c:catAx>
        <c:axId val="2588958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897408"/>
        <c:crosses val="autoZero"/>
        <c:auto val="1"/>
        <c:lblAlgn val="ctr"/>
        <c:lblOffset val="100"/>
      </c:catAx>
      <c:valAx>
        <c:axId val="25889740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58895872"/>
        <c:crosses val="autoZero"/>
        <c:crossBetween val="between"/>
        <c:majorUnit val="50"/>
      </c:valAx>
      <c:spPr>
        <a:noFill/>
        <a:ln>
          <a:noFill/>
        </a:ln>
        <a:effectLst/>
      </c:spPr>
    </c:plotArea>
    <c:legend>
      <c:legendPos val="t"/>
      <c:layout>
        <c:manualLayout>
          <c:xMode val="edge"/>
          <c:yMode val="edge"/>
          <c:x val="0.10885134157964708"/>
          <c:y val="0"/>
          <c:w val="0.7822973168407058"/>
          <c:h val="3.7939152954717885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plotArea>
      <c:layout>
        <c:manualLayout>
          <c:layoutTarget val="inner"/>
          <c:xMode val="edge"/>
          <c:yMode val="edge"/>
          <c:x val="0.1099615455044864"/>
          <c:y val="0.12815091661929351"/>
          <c:w val="0.80633371260103881"/>
          <c:h val="0.71323987727340576"/>
        </c:manualLayout>
      </c:layout>
      <c:lineChart>
        <c:grouping val="standard"/>
        <c:ser>
          <c:idx val="2"/>
          <c:order val="0"/>
          <c:tx>
            <c:strRef>
              <c:f>'andel Lønsomme reg'!$B$84</c:f>
              <c:strCache>
                <c:ptCount val="1"/>
                <c:pt idx="0">
                  <c:v>Norge</c:v>
                </c:pt>
              </c:strCache>
            </c:strRef>
          </c:tx>
          <c:spPr>
            <a:ln>
              <a:solidFill>
                <a:sysClr val="windowText" lastClr="000000"/>
              </a:solidFill>
              <a:prstDash val="sysDot"/>
            </a:ln>
          </c:spPr>
          <c:marker>
            <c:symbol val="none"/>
          </c:marker>
          <c:dLbls>
            <c:dLbl>
              <c:idx val="12"/>
              <c:showVal val="1"/>
              <c:extLst>
                <c:ext xmlns:c15="http://schemas.microsoft.com/office/drawing/2012/chart" uri="{CE6537A1-D6FC-4f65-9D91-7224C49458BB}"/>
              </c:extLst>
            </c:dLbl>
            <c:delete val="1"/>
            <c:numFmt formatCode="#,##0.0" sourceLinked="0"/>
            <c:spPr>
              <a:noFill/>
              <a:ln>
                <a:noFill/>
              </a:ln>
              <a:effectLst/>
            </c:spPr>
            <c:extLst>
              <c:ext xmlns:c15="http://schemas.microsoft.com/office/drawing/2012/chart" uri="{CE6537A1-D6FC-4f65-9D91-7224C49458BB}">
                <c15:showLeaderLines val="1"/>
              </c:ext>
            </c:extLst>
          </c:dLbls>
          <c:cat>
            <c:numRef>
              <c:f>'andel Lønsomme reg'!$D$1:$P$1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'andel Lønsomme reg'!$D$84:$P$84</c:f>
              <c:numCache>
                <c:formatCode>General</c:formatCode>
                <c:ptCount val="13"/>
                <c:pt idx="0">
                  <c:v>63.663768695246638</c:v>
                </c:pt>
                <c:pt idx="1">
                  <c:v>64.307983611641617</c:v>
                </c:pt>
                <c:pt idx="2">
                  <c:v>65.738666923552415</c:v>
                </c:pt>
                <c:pt idx="3">
                  <c:v>69.772029811486135</c:v>
                </c:pt>
                <c:pt idx="4">
                  <c:v>70.49860317370279</c:v>
                </c:pt>
                <c:pt idx="5">
                  <c:v>71.362278381819948</c:v>
                </c:pt>
                <c:pt idx="6">
                  <c:v>71.132107503087937</c:v>
                </c:pt>
                <c:pt idx="7">
                  <c:v>63.690018682360602</c:v>
                </c:pt>
                <c:pt idx="8">
                  <c:v>66.288385615408728</c:v>
                </c:pt>
                <c:pt idx="9">
                  <c:v>66.31883682243388</c:v>
                </c:pt>
                <c:pt idx="10">
                  <c:v>67.295637307667931</c:v>
                </c:pt>
                <c:pt idx="11">
                  <c:v>69.571549015099251</c:v>
                </c:pt>
                <c:pt idx="12">
                  <c:v>68.925508659828481</c:v>
                </c:pt>
              </c:numCache>
            </c:numRef>
          </c:val>
        </c:ser>
        <c:ser>
          <c:idx val="0"/>
          <c:order val="1"/>
          <c:tx>
            <c:strRef>
              <c:f>'andel Lønsomme reg'!$B$83</c:f>
              <c:strCache>
                <c:ptCount val="1"/>
                <c:pt idx="0">
                  <c:v>Medianregionen</c:v>
                </c:pt>
              </c:strCache>
            </c:strRef>
          </c:tx>
          <c:spPr>
            <a:ln>
              <a:solidFill>
                <a:schemeClr val="bg1">
                  <a:lumMod val="50000"/>
                </a:schemeClr>
              </a:solidFill>
            </a:ln>
          </c:spPr>
          <c:marker>
            <c:symbol val="none"/>
          </c:marker>
          <c:dLbls>
            <c:dLbl>
              <c:idx val="12"/>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1"/>
              </c:ext>
            </c:extLst>
          </c:dLbls>
          <c:cat>
            <c:numRef>
              <c:f>'andel Lønsomme reg'!$D$1:$P$1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'andel Lønsomme reg'!$D$83:$P$83</c:f>
              <c:numCache>
                <c:formatCode>0.0</c:formatCode>
                <c:ptCount val="13"/>
                <c:pt idx="0">
                  <c:v>62.238028222585704</c:v>
                </c:pt>
                <c:pt idx="1">
                  <c:v>63.167715021347327</c:v>
                </c:pt>
                <c:pt idx="2">
                  <c:v>64.910788073997168</c:v>
                </c:pt>
                <c:pt idx="3">
                  <c:v>69.521213980955636</c:v>
                </c:pt>
                <c:pt idx="4">
                  <c:v>69.584062568365795</c:v>
                </c:pt>
                <c:pt idx="5">
                  <c:v>70.45192093745375</c:v>
                </c:pt>
                <c:pt idx="6">
                  <c:v>70.020188602664007</c:v>
                </c:pt>
                <c:pt idx="7">
                  <c:v>63.111519326444714</c:v>
                </c:pt>
                <c:pt idx="8">
                  <c:v>65.491178695988083</c:v>
                </c:pt>
                <c:pt idx="9">
                  <c:v>65.361182156023176</c:v>
                </c:pt>
                <c:pt idx="10">
                  <c:v>66.453356801609232</c:v>
                </c:pt>
                <c:pt idx="11">
                  <c:v>68.321025572500801</c:v>
                </c:pt>
                <c:pt idx="12">
                  <c:v>67.468709983890292</c:v>
                </c:pt>
              </c:numCache>
            </c:numRef>
          </c:val>
        </c:ser>
        <c:ser>
          <c:idx val="1"/>
          <c:order val="2"/>
          <c:tx>
            <c:strRef>
              <c:f>'andel Lønsomme reg'!$B$11</c:f>
              <c:strCache>
                <c:ptCount val="1"/>
                <c:pt idx="0">
                  <c:v>Glåmdal</c:v>
                </c:pt>
              </c:strCache>
            </c:strRef>
          </c:tx>
          <c:dLbls>
            <c:dLbl>
              <c:idx val="12"/>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1"/>
              </c:ext>
            </c:extLst>
          </c:dLbls>
          <c:cat>
            <c:numRef>
              <c:f>'andel Lønsomme reg'!$D$1:$P$1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'andel Lønsomme reg'!$D$11:$P$11</c:f>
              <c:numCache>
                <c:formatCode>0.0</c:formatCode>
                <c:ptCount val="13"/>
                <c:pt idx="0">
                  <c:v>63.319672131147527</c:v>
                </c:pt>
                <c:pt idx="1">
                  <c:v>65.942744323790691</c:v>
                </c:pt>
                <c:pt idx="2">
                  <c:v>64.957264957264982</c:v>
                </c:pt>
                <c:pt idx="3">
                  <c:v>68.421052631578945</c:v>
                </c:pt>
                <c:pt idx="4">
                  <c:v>68.644067796610173</c:v>
                </c:pt>
                <c:pt idx="5">
                  <c:v>69.781461944235161</c:v>
                </c:pt>
                <c:pt idx="6">
                  <c:v>70.050761421319791</c:v>
                </c:pt>
                <c:pt idx="7">
                  <c:v>63.559915907498251</c:v>
                </c:pt>
                <c:pt idx="8">
                  <c:v>63.483146067415724</c:v>
                </c:pt>
                <c:pt idx="9">
                  <c:v>64.255910987482608</c:v>
                </c:pt>
                <c:pt idx="10">
                  <c:v>66.758241758241752</c:v>
                </c:pt>
                <c:pt idx="11">
                  <c:v>68.407138136153279</c:v>
                </c:pt>
                <c:pt idx="12">
                  <c:v>66.790582403965303</c:v>
                </c:pt>
              </c:numCache>
            </c:numRef>
          </c:val>
        </c:ser>
        <c:marker val="1"/>
        <c:axId val="259079552"/>
        <c:axId val="259093632"/>
      </c:lineChart>
      <c:catAx>
        <c:axId val="259079552"/>
        <c:scaling>
          <c:orientation val="minMax"/>
        </c:scaling>
        <c:axPos val="b"/>
        <c:numFmt formatCode="General" sourceLinked="1"/>
        <c:tickLblPos val="nextTo"/>
        <c:txPr>
          <a:bodyPr rot="5400000" vert="horz"/>
          <a:lstStyle/>
          <a:p>
            <a:pPr>
              <a:defRPr/>
            </a:pPr>
            <a:endParaRPr lang="nb-NO"/>
          </a:p>
        </c:txPr>
        <c:crossAx val="259093632"/>
        <c:crosses val="autoZero"/>
        <c:auto val="1"/>
        <c:lblAlgn val="ctr"/>
        <c:lblOffset val="100"/>
      </c:catAx>
      <c:valAx>
        <c:axId val="259093632"/>
        <c:scaling>
          <c:orientation val="minMax"/>
          <c:min val="60"/>
        </c:scaling>
        <c:axPos val="l"/>
        <c:majorGridlines>
          <c:spPr>
            <a:ln>
              <a:solidFill>
                <a:schemeClr val="accent1">
                  <a:lumMod val="20000"/>
                  <a:lumOff val="80000"/>
                </a:schemeClr>
              </a:solidFill>
            </a:ln>
          </c:spPr>
        </c:majorGridlines>
        <c:numFmt formatCode="0" sourceLinked="0"/>
        <c:tickLblPos val="nextTo"/>
        <c:crossAx val="259079552"/>
        <c:crosses val="autoZero"/>
        <c:crossBetween val="between"/>
      </c:valAx>
    </c:plotArea>
    <c:legend>
      <c:legendPos val="t"/>
      <c:layout>
        <c:manualLayout>
          <c:xMode val="edge"/>
          <c:yMode val="edge"/>
          <c:x val="0"/>
          <c:y val="0"/>
          <c:w val="0.98408957455224022"/>
          <c:h val="7.3858659458612475E-2"/>
        </c:manualLayout>
      </c:layout>
    </c:legend>
    <c:plotVisOnly val="1"/>
    <c:dispBlanksAs val="gap"/>
  </c:chart>
  <c:spPr>
    <a:ln>
      <a:noFill/>
    </a:ln>
  </c:spPr>
  <c:txPr>
    <a:bodyPr/>
    <a:lstStyle/>
    <a:p>
      <a:pPr>
        <a:defRPr sz="800">
          <a:latin typeface="Arial" pitchFamily="34" charset="0"/>
          <a:cs typeface="Arial" pitchFamily="34" charset="0"/>
        </a:defRPr>
      </a:pPr>
      <a:endParaRPr lang="nb-NO"/>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7049622503759279"/>
          <c:y val="4.0487401213444033E-2"/>
          <c:w val="0.35054825382941335"/>
          <c:h val="0.9244927421015926"/>
        </c:manualLayout>
      </c:layout>
      <c:barChart>
        <c:barDir val="bar"/>
        <c:grouping val="stacked"/>
        <c:ser>
          <c:idx val="0"/>
          <c:order val="0"/>
          <c:tx>
            <c:strRef>
              <c:f>'Lønnsindeks reg figur'!$D$1</c:f>
              <c:strCache>
                <c:ptCount val="1"/>
                <c:pt idx="0">
                  <c:v>Andel lønnsomme</c:v>
                </c:pt>
              </c:strCache>
            </c:strRef>
          </c:tx>
          <c:spPr>
            <a:solidFill>
              <a:schemeClr val="accent2"/>
            </a:solidFill>
            <a:ln>
              <a:noFill/>
            </a:ln>
            <a:effectLst/>
          </c:spPr>
          <c:dLbls>
            <c:dLbl>
              <c:idx val="5"/>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'Lønnsindeks reg figur'!$B$2:$C$30</c:f>
              <c:multiLvlStrCache>
                <c:ptCount val="29"/>
                <c:lvl>
                  <c:pt idx="0">
                    <c:v>Hallingdal (68)</c:v>
                  </c:pt>
                  <c:pt idx="1">
                    <c:v>Øst-Telemark (63)</c:v>
                  </c:pt>
                  <c:pt idx="2">
                    <c:v>Sør Østerdal (67)</c:v>
                  </c:pt>
                  <c:pt idx="3">
                    <c:v>Midt-Telemark (53)</c:v>
                  </c:pt>
                  <c:pt idx="4">
                    <c:v>Tønsbergregionen (48)</c:v>
                  </c:pt>
                  <c:pt idx="5">
                    <c:v>Glåmdal (45)</c:v>
                  </c:pt>
                  <c:pt idx="6">
                    <c:v>Midt-Buskerud (29)</c:v>
                  </c:pt>
                  <c:pt idx="7">
                    <c:v>Grenland (52)</c:v>
                  </c:pt>
                  <c:pt idx="8">
                    <c:v>Halden (69)</c:v>
                  </c:pt>
                  <c:pt idx="9">
                    <c:v>Mosseregionen (66)</c:v>
                  </c:pt>
                  <c:pt idx="10">
                    <c:v>Osloregionen (36)</c:v>
                  </c:pt>
                  <c:pt idx="11">
                    <c:v>Hadeland (6)</c:v>
                  </c:pt>
                  <c:pt idx="12">
                    <c:v>Nord-Gudbrandsdal (78)</c:v>
                  </c:pt>
                  <c:pt idx="13">
                    <c:v>Midt-Gudbrandsdal (74)</c:v>
                  </c:pt>
                  <c:pt idx="14">
                    <c:v>Gjøvikregionen (25)</c:v>
                  </c:pt>
                  <c:pt idx="15">
                    <c:v>Sandefjord/Larvik (30)</c:v>
                  </c:pt>
                  <c:pt idx="16">
                    <c:v>Øvre Romerike (16)</c:v>
                  </c:pt>
                  <c:pt idx="17">
                    <c:v>Follo (23)</c:v>
                  </c:pt>
                  <c:pt idx="18">
                    <c:v>Nedre Glomma (38)</c:v>
                  </c:pt>
                  <c:pt idx="19">
                    <c:v>Valdres (20)</c:v>
                  </c:pt>
                  <c:pt idx="20">
                    <c:v>Kongsberg/Numedal (33)</c:v>
                  </c:pt>
                  <c:pt idx="21">
                    <c:v>Ringerike/Hole (5)</c:v>
                  </c:pt>
                  <c:pt idx="22">
                    <c:v>Drammensregionen (9)</c:v>
                  </c:pt>
                  <c:pt idx="23">
                    <c:v>Vest-Telemark (49)</c:v>
                  </c:pt>
                  <c:pt idx="24">
                    <c:v>Indre Østfold (10)</c:v>
                  </c:pt>
                  <c:pt idx="25">
                    <c:v>Vestviken (8)</c:v>
                  </c:pt>
                  <c:pt idx="26">
                    <c:v>Hamarregionen (11)</c:v>
                  </c:pt>
                  <c:pt idx="27">
                    <c:v>Lillehammerregionen (21)</c:v>
                  </c:pt>
                  <c:pt idx="28">
                    <c:v>Fjellregionen (62)</c:v>
                  </c:pt>
                </c:lvl>
                <c:lvl>
                  <c:pt idx="0">
                    <c:v>77</c:v>
                  </c:pt>
                  <c:pt idx="1">
                    <c:v>76</c:v>
                  </c:pt>
                  <c:pt idx="2">
                    <c:v>71</c:v>
                  </c:pt>
                  <c:pt idx="3">
                    <c:v>70</c:v>
                  </c:pt>
                  <c:pt idx="4">
                    <c:v>64</c:v>
                  </c:pt>
                  <c:pt idx="5">
                    <c:v>62</c:v>
                  </c:pt>
                  <c:pt idx="6">
                    <c:v>57</c:v>
                  </c:pt>
                  <c:pt idx="7">
                    <c:v>57</c:v>
                  </c:pt>
                  <c:pt idx="8">
                    <c:v>54</c:v>
                  </c:pt>
                  <c:pt idx="9">
                    <c:v>52</c:v>
                  </c:pt>
                  <c:pt idx="10">
                    <c:v>47</c:v>
                  </c:pt>
                  <c:pt idx="11">
                    <c:v>43</c:v>
                  </c:pt>
                  <c:pt idx="12">
                    <c:v>39</c:v>
                  </c:pt>
                  <c:pt idx="13">
                    <c:v>38</c:v>
                  </c:pt>
                  <c:pt idx="14">
                    <c:v>33</c:v>
                  </c:pt>
                  <c:pt idx="15">
                    <c:v>29</c:v>
                  </c:pt>
                  <c:pt idx="16">
                    <c:v>28</c:v>
                  </c:pt>
                  <c:pt idx="17">
                    <c:v>27</c:v>
                  </c:pt>
                  <c:pt idx="18">
                    <c:v>26</c:v>
                  </c:pt>
                  <c:pt idx="19">
                    <c:v>24</c:v>
                  </c:pt>
                  <c:pt idx="20">
                    <c:v>22</c:v>
                  </c:pt>
                  <c:pt idx="21">
                    <c:v>18</c:v>
                  </c:pt>
                  <c:pt idx="22">
                    <c:v>17</c:v>
                  </c:pt>
                  <c:pt idx="23">
                    <c:v>16</c:v>
                  </c:pt>
                  <c:pt idx="24">
                    <c:v>14</c:v>
                  </c:pt>
                  <c:pt idx="25">
                    <c:v>12</c:v>
                  </c:pt>
                  <c:pt idx="26">
                    <c:v>12</c:v>
                  </c:pt>
                  <c:pt idx="27">
                    <c:v>9</c:v>
                  </c:pt>
                  <c:pt idx="28">
                    <c:v>7</c:v>
                  </c:pt>
                </c:lvl>
              </c:multiLvlStrCache>
            </c:multiLvlStrRef>
          </c:cat>
          <c:val>
            <c:numRef>
              <c:f>'Lønnsindeks reg figur'!$D$2:$D$30</c:f>
              <c:numCache>
                <c:formatCode>General</c:formatCode>
                <c:ptCount val="29"/>
                <c:pt idx="0">
                  <c:v>74</c:v>
                </c:pt>
                <c:pt idx="1">
                  <c:v>71</c:v>
                </c:pt>
                <c:pt idx="2">
                  <c:v>64</c:v>
                </c:pt>
                <c:pt idx="3">
                  <c:v>61</c:v>
                </c:pt>
                <c:pt idx="4">
                  <c:v>45</c:v>
                </c:pt>
                <c:pt idx="5">
                  <c:v>52</c:v>
                </c:pt>
                <c:pt idx="6">
                  <c:v>51</c:v>
                </c:pt>
                <c:pt idx="7">
                  <c:v>38</c:v>
                </c:pt>
                <c:pt idx="8">
                  <c:v>33</c:v>
                </c:pt>
                <c:pt idx="9">
                  <c:v>28</c:v>
                </c:pt>
                <c:pt idx="10">
                  <c:v>18</c:v>
                </c:pt>
                <c:pt idx="11">
                  <c:v>31</c:v>
                </c:pt>
                <c:pt idx="12">
                  <c:v>46</c:v>
                </c:pt>
                <c:pt idx="13">
                  <c:v>27</c:v>
                </c:pt>
                <c:pt idx="14">
                  <c:v>24</c:v>
                </c:pt>
                <c:pt idx="15">
                  <c:v>14</c:v>
                </c:pt>
                <c:pt idx="16">
                  <c:v>23</c:v>
                </c:pt>
                <c:pt idx="17">
                  <c:v>19</c:v>
                </c:pt>
                <c:pt idx="18">
                  <c:v>13</c:v>
                </c:pt>
                <c:pt idx="19">
                  <c:v>49</c:v>
                </c:pt>
                <c:pt idx="20">
                  <c:v>25</c:v>
                </c:pt>
                <c:pt idx="21">
                  <c:v>12</c:v>
                </c:pt>
                <c:pt idx="22">
                  <c:v>7</c:v>
                </c:pt>
                <c:pt idx="23">
                  <c:v>41</c:v>
                </c:pt>
                <c:pt idx="24">
                  <c:v>17</c:v>
                </c:pt>
                <c:pt idx="25">
                  <c:v>8</c:v>
                </c:pt>
                <c:pt idx="26">
                  <c:v>9</c:v>
                </c:pt>
                <c:pt idx="27">
                  <c:v>6</c:v>
                </c:pt>
                <c:pt idx="28">
                  <c:v>16</c:v>
                </c:pt>
              </c:numCache>
            </c:numRef>
          </c:val>
        </c:ser>
        <c:ser>
          <c:idx val="1"/>
          <c:order val="1"/>
          <c:tx>
            <c:strRef>
              <c:f>'Lønnsindeks reg figur'!$E$1</c:f>
              <c:strCache>
                <c:ptCount val="1"/>
                <c:pt idx="0">
                  <c:v>Bransjejustert</c:v>
                </c:pt>
              </c:strCache>
            </c:strRef>
          </c:tx>
          <c:spPr>
            <a:solidFill>
              <a:schemeClr val="bg1">
                <a:lumMod val="65000"/>
              </a:schemeClr>
            </a:solidFill>
            <a:ln>
              <a:noFill/>
            </a:ln>
            <a:effectLst/>
          </c:spPr>
          <c:dLbls>
            <c:dLbl>
              <c:idx val="5"/>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'Lønnsindeks reg figur'!$B$2:$C$30</c:f>
              <c:multiLvlStrCache>
                <c:ptCount val="29"/>
                <c:lvl>
                  <c:pt idx="0">
                    <c:v>Hallingdal (68)</c:v>
                  </c:pt>
                  <c:pt idx="1">
                    <c:v>Øst-Telemark (63)</c:v>
                  </c:pt>
                  <c:pt idx="2">
                    <c:v>Sør Østerdal (67)</c:v>
                  </c:pt>
                  <c:pt idx="3">
                    <c:v>Midt-Telemark (53)</c:v>
                  </c:pt>
                  <c:pt idx="4">
                    <c:v>Tønsbergregionen (48)</c:v>
                  </c:pt>
                  <c:pt idx="5">
                    <c:v>Glåmdal (45)</c:v>
                  </c:pt>
                  <c:pt idx="6">
                    <c:v>Midt-Buskerud (29)</c:v>
                  </c:pt>
                  <c:pt idx="7">
                    <c:v>Grenland (52)</c:v>
                  </c:pt>
                  <c:pt idx="8">
                    <c:v>Halden (69)</c:v>
                  </c:pt>
                  <c:pt idx="9">
                    <c:v>Mosseregionen (66)</c:v>
                  </c:pt>
                  <c:pt idx="10">
                    <c:v>Osloregionen (36)</c:v>
                  </c:pt>
                  <c:pt idx="11">
                    <c:v>Hadeland (6)</c:v>
                  </c:pt>
                  <c:pt idx="12">
                    <c:v>Nord-Gudbrandsdal (78)</c:v>
                  </c:pt>
                  <c:pt idx="13">
                    <c:v>Midt-Gudbrandsdal (74)</c:v>
                  </c:pt>
                  <c:pt idx="14">
                    <c:v>Gjøvikregionen (25)</c:v>
                  </c:pt>
                  <c:pt idx="15">
                    <c:v>Sandefjord/Larvik (30)</c:v>
                  </c:pt>
                  <c:pt idx="16">
                    <c:v>Øvre Romerike (16)</c:v>
                  </c:pt>
                  <c:pt idx="17">
                    <c:v>Follo (23)</c:v>
                  </c:pt>
                  <c:pt idx="18">
                    <c:v>Nedre Glomma (38)</c:v>
                  </c:pt>
                  <c:pt idx="19">
                    <c:v>Valdres (20)</c:v>
                  </c:pt>
                  <c:pt idx="20">
                    <c:v>Kongsberg/Numedal (33)</c:v>
                  </c:pt>
                  <c:pt idx="21">
                    <c:v>Ringerike/Hole (5)</c:v>
                  </c:pt>
                  <c:pt idx="22">
                    <c:v>Drammensregionen (9)</c:v>
                  </c:pt>
                  <c:pt idx="23">
                    <c:v>Vest-Telemark (49)</c:v>
                  </c:pt>
                  <c:pt idx="24">
                    <c:v>Indre Østfold (10)</c:v>
                  </c:pt>
                  <c:pt idx="25">
                    <c:v>Vestviken (8)</c:v>
                  </c:pt>
                  <c:pt idx="26">
                    <c:v>Hamarregionen (11)</c:v>
                  </c:pt>
                  <c:pt idx="27">
                    <c:v>Lillehammerregionen (21)</c:v>
                  </c:pt>
                  <c:pt idx="28">
                    <c:v>Fjellregionen (62)</c:v>
                  </c:pt>
                </c:lvl>
                <c:lvl>
                  <c:pt idx="0">
                    <c:v>77</c:v>
                  </c:pt>
                  <c:pt idx="1">
                    <c:v>76</c:v>
                  </c:pt>
                  <c:pt idx="2">
                    <c:v>71</c:v>
                  </c:pt>
                  <c:pt idx="3">
                    <c:v>70</c:v>
                  </c:pt>
                  <c:pt idx="4">
                    <c:v>64</c:v>
                  </c:pt>
                  <c:pt idx="5">
                    <c:v>62</c:v>
                  </c:pt>
                  <c:pt idx="6">
                    <c:v>57</c:v>
                  </c:pt>
                  <c:pt idx="7">
                    <c:v>57</c:v>
                  </c:pt>
                  <c:pt idx="8">
                    <c:v>54</c:v>
                  </c:pt>
                  <c:pt idx="9">
                    <c:v>52</c:v>
                  </c:pt>
                  <c:pt idx="10">
                    <c:v>47</c:v>
                  </c:pt>
                  <c:pt idx="11">
                    <c:v>43</c:v>
                  </c:pt>
                  <c:pt idx="12">
                    <c:v>39</c:v>
                  </c:pt>
                  <c:pt idx="13">
                    <c:v>38</c:v>
                  </c:pt>
                  <c:pt idx="14">
                    <c:v>33</c:v>
                  </c:pt>
                  <c:pt idx="15">
                    <c:v>29</c:v>
                  </c:pt>
                  <c:pt idx="16">
                    <c:v>28</c:v>
                  </c:pt>
                  <c:pt idx="17">
                    <c:v>27</c:v>
                  </c:pt>
                  <c:pt idx="18">
                    <c:v>26</c:v>
                  </c:pt>
                  <c:pt idx="19">
                    <c:v>24</c:v>
                  </c:pt>
                  <c:pt idx="20">
                    <c:v>22</c:v>
                  </c:pt>
                  <c:pt idx="21">
                    <c:v>18</c:v>
                  </c:pt>
                  <c:pt idx="22">
                    <c:v>17</c:v>
                  </c:pt>
                  <c:pt idx="23">
                    <c:v>16</c:v>
                  </c:pt>
                  <c:pt idx="24">
                    <c:v>14</c:v>
                  </c:pt>
                  <c:pt idx="25">
                    <c:v>12</c:v>
                  </c:pt>
                  <c:pt idx="26">
                    <c:v>12</c:v>
                  </c:pt>
                  <c:pt idx="27">
                    <c:v>9</c:v>
                  </c:pt>
                  <c:pt idx="28">
                    <c:v>7</c:v>
                  </c:pt>
                </c:lvl>
              </c:multiLvlStrCache>
            </c:multiLvlStrRef>
          </c:cat>
          <c:val>
            <c:numRef>
              <c:f>'Lønnsindeks reg figur'!$E$2:$E$30</c:f>
              <c:numCache>
                <c:formatCode>General</c:formatCode>
                <c:ptCount val="29"/>
                <c:pt idx="0">
                  <c:v>77</c:v>
                </c:pt>
                <c:pt idx="1">
                  <c:v>74</c:v>
                </c:pt>
                <c:pt idx="2">
                  <c:v>69</c:v>
                </c:pt>
                <c:pt idx="3">
                  <c:v>55</c:v>
                </c:pt>
                <c:pt idx="4">
                  <c:v>56</c:v>
                </c:pt>
                <c:pt idx="5">
                  <c:v>53</c:v>
                </c:pt>
                <c:pt idx="6">
                  <c:v>41</c:v>
                </c:pt>
                <c:pt idx="7">
                  <c:v>49</c:v>
                </c:pt>
                <c:pt idx="8">
                  <c:v>38</c:v>
                </c:pt>
                <c:pt idx="9">
                  <c:v>42</c:v>
                </c:pt>
                <c:pt idx="10">
                  <c:v>59</c:v>
                </c:pt>
                <c:pt idx="11">
                  <c:v>30</c:v>
                </c:pt>
                <c:pt idx="12">
                  <c:v>21</c:v>
                </c:pt>
                <c:pt idx="13">
                  <c:v>22</c:v>
                </c:pt>
                <c:pt idx="14">
                  <c:v>37</c:v>
                </c:pt>
                <c:pt idx="15">
                  <c:v>26</c:v>
                </c:pt>
                <c:pt idx="16">
                  <c:v>28</c:v>
                </c:pt>
                <c:pt idx="17">
                  <c:v>29</c:v>
                </c:pt>
                <c:pt idx="18">
                  <c:v>16</c:v>
                </c:pt>
                <c:pt idx="19">
                  <c:v>25</c:v>
                </c:pt>
                <c:pt idx="20">
                  <c:v>33</c:v>
                </c:pt>
                <c:pt idx="21">
                  <c:v>20</c:v>
                </c:pt>
                <c:pt idx="22">
                  <c:v>24</c:v>
                </c:pt>
                <c:pt idx="23">
                  <c:v>9</c:v>
                </c:pt>
                <c:pt idx="24">
                  <c:v>17</c:v>
                </c:pt>
                <c:pt idx="25">
                  <c:v>13</c:v>
                </c:pt>
                <c:pt idx="26">
                  <c:v>19</c:v>
                </c:pt>
                <c:pt idx="27">
                  <c:v>12</c:v>
                </c:pt>
                <c:pt idx="28">
                  <c:v>6</c:v>
                </c:pt>
              </c:numCache>
            </c:numRef>
          </c:val>
        </c:ser>
        <c:ser>
          <c:idx val="2"/>
          <c:order val="2"/>
          <c:tx>
            <c:strRef>
              <c:f>'Lønnsindeks reg figur'!$F$1</c:f>
              <c:strCache>
                <c:ptCount val="1"/>
                <c:pt idx="0">
                  <c:v>Egenkapital</c:v>
                </c:pt>
              </c:strCache>
            </c:strRef>
          </c:tx>
          <c:spPr>
            <a:solidFill>
              <a:schemeClr val="accent3"/>
            </a:solidFill>
            <a:ln>
              <a:noFill/>
            </a:ln>
            <a:effectLst/>
          </c:spPr>
          <c:dLbls>
            <c:dLbl>
              <c:idx val="5"/>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'Lønnsindeks reg figur'!$B$2:$C$30</c:f>
              <c:multiLvlStrCache>
                <c:ptCount val="29"/>
                <c:lvl>
                  <c:pt idx="0">
                    <c:v>Hallingdal (68)</c:v>
                  </c:pt>
                  <c:pt idx="1">
                    <c:v>Øst-Telemark (63)</c:v>
                  </c:pt>
                  <c:pt idx="2">
                    <c:v>Sør Østerdal (67)</c:v>
                  </c:pt>
                  <c:pt idx="3">
                    <c:v>Midt-Telemark (53)</c:v>
                  </c:pt>
                  <c:pt idx="4">
                    <c:v>Tønsbergregionen (48)</c:v>
                  </c:pt>
                  <c:pt idx="5">
                    <c:v>Glåmdal (45)</c:v>
                  </c:pt>
                  <c:pt idx="6">
                    <c:v>Midt-Buskerud (29)</c:v>
                  </c:pt>
                  <c:pt idx="7">
                    <c:v>Grenland (52)</c:v>
                  </c:pt>
                  <c:pt idx="8">
                    <c:v>Halden (69)</c:v>
                  </c:pt>
                  <c:pt idx="9">
                    <c:v>Mosseregionen (66)</c:v>
                  </c:pt>
                  <c:pt idx="10">
                    <c:v>Osloregionen (36)</c:v>
                  </c:pt>
                  <c:pt idx="11">
                    <c:v>Hadeland (6)</c:v>
                  </c:pt>
                  <c:pt idx="12">
                    <c:v>Nord-Gudbrandsdal (78)</c:v>
                  </c:pt>
                  <c:pt idx="13">
                    <c:v>Midt-Gudbrandsdal (74)</c:v>
                  </c:pt>
                  <c:pt idx="14">
                    <c:v>Gjøvikregionen (25)</c:v>
                  </c:pt>
                  <c:pt idx="15">
                    <c:v>Sandefjord/Larvik (30)</c:v>
                  </c:pt>
                  <c:pt idx="16">
                    <c:v>Øvre Romerike (16)</c:v>
                  </c:pt>
                  <c:pt idx="17">
                    <c:v>Follo (23)</c:v>
                  </c:pt>
                  <c:pt idx="18">
                    <c:v>Nedre Glomma (38)</c:v>
                  </c:pt>
                  <c:pt idx="19">
                    <c:v>Valdres (20)</c:v>
                  </c:pt>
                  <c:pt idx="20">
                    <c:v>Kongsberg/Numedal (33)</c:v>
                  </c:pt>
                  <c:pt idx="21">
                    <c:v>Ringerike/Hole (5)</c:v>
                  </c:pt>
                  <c:pt idx="22">
                    <c:v>Drammensregionen (9)</c:v>
                  </c:pt>
                  <c:pt idx="23">
                    <c:v>Vest-Telemark (49)</c:v>
                  </c:pt>
                  <c:pt idx="24">
                    <c:v>Indre Østfold (10)</c:v>
                  </c:pt>
                  <c:pt idx="25">
                    <c:v>Vestviken (8)</c:v>
                  </c:pt>
                  <c:pt idx="26">
                    <c:v>Hamarregionen (11)</c:v>
                  </c:pt>
                  <c:pt idx="27">
                    <c:v>Lillehammerregionen (21)</c:v>
                  </c:pt>
                  <c:pt idx="28">
                    <c:v>Fjellregionen (62)</c:v>
                  </c:pt>
                </c:lvl>
                <c:lvl>
                  <c:pt idx="0">
                    <c:v>77</c:v>
                  </c:pt>
                  <c:pt idx="1">
                    <c:v>76</c:v>
                  </c:pt>
                  <c:pt idx="2">
                    <c:v>71</c:v>
                  </c:pt>
                  <c:pt idx="3">
                    <c:v>70</c:v>
                  </c:pt>
                  <c:pt idx="4">
                    <c:v>64</c:v>
                  </c:pt>
                  <c:pt idx="5">
                    <c:v>62</c:v>
                  </c:pt>
                  <c:pt idx="6">
                    <c:v>57</c:v>
                  </c:pt>
                  <c:pt idx="7">
                    <c:v>57</c:v>
                  </c:pt>
                  <c:pt idx="8">
                    <c:v>54</c:v>
                  </c:pt>
                  <c:pt idx="9">
                    <c:v>52</c:v>
                  </c:pt>
                  <c:pt idx="10">
                    <c:v>47</c:v>
                  </c:pt>
                  <c:pt idx="11">
                    <c:v>43</c:v>
                  </c:pt>
                  <c:pt idx="12">
                    <c:v>39</c:v>
                  </c:pt>
                  <c:pt idx="13">
                    <c:v>38</c:v>
                  </c:pt>
                  <c:pt idx="14">
                    <c:v>33</c:v>
                  </c:pt>
                  <c:pt idx="15">
                    <c:v>29</c:v>
                  </c:pt>
                  <c:pt idx="16">
                    <c:v>28</c:v>
                  </c:pt>
                  <c:pt idx="17">
                    <c:v>27</c:v>
                  </c:pt>
                  <c:pt idx="18">
                    <c:v>26</c:v>
                  </c:pt>
                  <c:pt idx="19">
                    <c:v>24</c:v>
                  </c:pt>
                  <c:pt idx="20">
                    <c:v>22</c:v>
                  </c:pt>
                  <c:pt idx="21">
                    <c:v>18</c:v>
                  </c:pt>
                  <c:pt idx="22">
                    <c:v>17</c:v>
                  </c:pt>
                  <c:pt idx="23">
                    <c:v>16</c:v>
                  </c:pt>
                  <c:pt idx="24">
                    <c:v>14</c:v>
                  </c:pt>
                  <c:pt idx="25">
                    <c:v>12</c:v>
                  </c:pt>
                  <c:pt idx="26">
                    <c:v>12</c:v>
                  </c:pt>
                  <c:pt idx="27">
                    <c:v>9</c:v>
                  </c:pt>
                  <c:pt idx="28">
                    <c:v>7</c:v>
                  </c:pt>
                </c:lvl>
              </c:multiLvlStrCache>
            </c:multiLvlStrRef>
          </c:cat>
          <c:val>
            <c:numRef>
              <c:f>'Lønnsindeks reg figur'!$F$2:$F$30</c:f>
              <c:numCache>
                <c:formatCode>General</c:formatCode>
                <c:ptCount val="29"/>
                <c:pt idx="0">
                  <c:v>72</c:v>
                </c:pt>
                <c:pt idx="1">
                  <c:v>76</c:v>
                </c:pt>
                <c:pt idx="2">
                  <c:v>65</c:v>
                </c:pt>
                <c:pt idx="3">
                  <c:v>78</c:v>
                </c:pt>
                <c:pt idx="4">
                  <c:v>75</c:v>
                </c:pt>
                <c:pt idx="5">
                  <c:v>67</c:v>
                </c:pt>
                <c:pt idx="6">
                  <c:v>68</c:v>
                </c:pt>
                <c:pt idx="7">
                  <c:v>73</c:v>
                </c:pt>
                <c:pt idx="8">
                  <c:v>80</c:v>
                </c:pt>
                <c:pt idx="9">
                  <c:v>79</c:v>
                </c:pt>
                <c:pt idx="10">
                  <c:v>62</c:v>
                </c:pt>
                <c:pt idx="11">
                  <c:v>66</c:v>
                </c:pt>
                <c:pt idx="12">
                  <c:v>55</c:v>
                </c:pt>
                <c:pt idx="13">
                  <c:v>70</c:v>
                </c:pt>
                <c:pt idx="14">
                  <c:v>44</c:v>
                </c:pt>
                <c:pt idx="15">
                  <c:v>58</c:v>
                </c:pt>
                <c:pt idx="16">
                  <c:v>46</c:v>
                </c:pt>
                <c:pt idx="17">
                  <c:v>48</c:v>
                </c:pt>
                <c:pt idx="18">
                  <c:v>64</c:v>
                </c:pt>
                <c:pt idx="19">
                  <c:v>15</c:v>
                </c:pt>
                <c:pt idx="20">
                  <c:v>26</c:v>
                </c:pt>
                <c:pt idx="21">
                  <c:v>36</c:v>
                </c:pt>
                <c:pt idx="22">
                  <c:v>35</c:v>
                </c:pt>
                <c:pt idx="23">
                  <c:v>14</c:v>
                </c:pt>
                <c:pt idx="24">
                  <c:v>20</c:v>
                </c:pt>
                <c:pt idx="25">
                  <c:v>31</c:v>
                </c:pt>
                <c:pt idx="26">
                  <c:v>24</c:v>
                </c:pt>
                <c:pt idx="27">
                  <c:v>18</c:v>
                </c:pt>
                <c:pt idx="28">
                  <c:v>12</c:v>
                </c:pt>
              </c:numCache>
            </c:numRef>
          </c:val>
        </c:ser>
        <c:gapWidth val="30"/>
        <c:overlap val="100"/>
        <c:axId val="260230144"/>
        <c:axId val="260309760"/>
      </c:barChart>
      <c:catAx>
        <c:axId val="2602301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60309760"/>
        <c:crosses val="autoZero"/>
        <c:auto val="1"/>
        <c:lblAlgn val="ctr"/>
        <c:lblOffset val="100"/>
      </c:catAx>
      <c:valAx>
        <c:axId val="26030976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60230144"/>
        <c:crosses val="autoZero"/>
        <c:crossBetween val="between"/>
        <c:majorUnit val="50"/>
      </c:valAx>
      <c:spPr>
        <a:noFill/>
        <a:ln>
          <a:noFill/>
        </a:ln>
        <a:effectLst/>
      </c:spPr>
    </c:plotArea>
    <c:legend>
      <c:legendPos val="t"/>
      <c:layout>
        <c:manualLayout>
          <c:xMode val="edge"/>
          <c:yMode val="edge"/>
          <c:x val="4.9999912878781312E-2"/>
          <c:y val="0"/>
          <c:w val="0.89999982575756254"/>
          <c:h val="2.6453640295331142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879098399931739E-2"/>
          <c:y val="0.11042485458643429"/>
          <c:w val="0.81957154438264002"/>
          <c:h val="0.70466618293873651"/>
        </c:manualLayout>
      </c:layout>
      <c:lineChart>
        <c:grouping val="standard"/>
        <c:ser>
          <c:idx val="1"/>
          <c:order val="0"/>
          <c:tx>
            <c:strRef>
              <c:f>'Vekst reg'!$B$83</c:f>
              <c:strCache>
                <c:ptCount val="1"/>
                <c:pt idx="0">
                  <c:v>Norge</c:v>
                </c:pt>
              </c:strCache>
            </c:strRef>
          </c:tx>
          <c:spPr>
            <a:ln w="28575" cap="rnd">
              <a:solidFill>
                <a:sysClr val="windowText" lastClr="000000"/>
              </a:solidFill>
              <a:prstDash val="sysDot"/>
              <a:round/>
            </a:ln>
            <a:effectLst/>
          </c:spPr>
          <c:marker>
            <c:symbol val="none"/>
          </c:marker>
          <c:dLbls>
            <c:dLbl>
              <c:idx val="13"/>
              <c:showVal val="1"/>
              <c:extLst>
                <c:ext xmlns:c15="http://schemas.microsoft.com/office/drawing/2012/chart" uri="{CE6537A1-D6FC-4f65-9D91-7224C49458BB}"/>
              </c:extLst>
            </c:dLbl>
            <c:delete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'Vekst reg'!$C$1:$P$1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'Vekst reg'!$C$83:$P$83</c:f>
              <c:numCache>
                <c:formatCode>0.0</c:formatCode>
                <c:ptCount val="14"/>
                <c:pt idx="0">
                  <c:v>52.353447096307562</c:v>
                </c:pt>
                <c:pt idx="1">
                  <c:v>51.679472487836023</c:v>
                </c:pt>
                <c:pt idx="2">
                  <c:v>53.464442784831135</c:v>
                </c:pt>
                <c:pt idx="3">
                  <c:v>48.540900110565332</c:v>
                </c:pt>
                <c:pt idx="4">
                  <c:v>59.558009107051809</c:v>
                </c:pt>
                <c:pt idx="5">
                  <c:v>55.471980331645568</c:v>
                </c:pt>
                <c:pt idx="6">
                  <c:v>57.387207027533101</c:v>
                </c:pt>
                <c:pt idx="7">
                  <c:v>65.213827684296831</c:v>
                </c:pt>
                <c:pt idx="8">
                  <c:v>52.086236259482895</c:v>
                </c:pt>
                <c:pt idx="9">
                  <c:v>47.501408325896094</c:v>
                </c:pt>
                <c:pt idx="10">
                  <c:v>50.068861591289448</c:v>
                </c:pt>
                <c:pt idx="11">
                  <c:v>56.925086593136371</c:v>
                </c:pt>
                <c:pt idx="12">
                  <c:v>55.819726357819043</c:v>
                </c:pt>
                <c:pt idx="13">
                  <c:v>50.483159560498756</c:v>
                </c:pt>
              </c:numCache>
            </c:numRef>
          </c:val>
        </c:ser>
        <c:ser>
          <c:idx val="0"/>
          <c:order val="1"/>
          <c:tx>
            <c:strRef>
              <c:f>'Vekst reg'!$B$11</c:f>
              <c:strCache>
                <c:ptCount val="1"/>
                <c:pt idx="0">
                  <c:v>Glåmdal</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13"/>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'Vekst reg'!$C$1:$P$1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'Vekst reg'!$C$11:$P$11</c:f>
              <c:numCache>
                <c:formatCode>0.0</c:formatCode>
                <c:ptCount val="14"/>
                <c:pt idx="0">
                  <c:v>52.270081490104772</c:v>
                </c:pt>
                <c:pt idx="1">
                  <c:v>51.197263397947545</c:v>
                </c:pt>
                <c:pt idx="2">
                  <c:v>54.842342342342342</c:v>
                </c:pt>
                <c:pt idx="3">
                  <c:v>49.677419354838712</c:v>
                </c:pt>
                <c:pt idx="4">
                  <c:v>62.371134020618541</c:v>
                </c:pt>
                <c:pt idx="5">
                  <c:v>56.767676767676754</c:v>
                </c:pt>
                <c:pt idx="6">
                  <c:v>53.715308863025975</c:v>
                </c:pt>
                <c:pt idx="7">
                  <c:v>65.94142259414231</c:v>
                </c:pt>
                <c:pt idx="8">
                  <c:v>50.940438871473354</c:v>
                </c:pt>
                <c:pt idx="9">
                  <c:v>43.940578577013277</c:v>
                </c:pt>
                <c:pt idx="10">
                  <c:v>48.034591194968556</c:v>
                </c:pt>
                <c:pt idx="11">
                  <c:v>53.571428571428548</c:v>
                </c:pt>
                <c:pt idx="12">
                  <c:v>54.051987767584073</c:v>
                </c:pt>
                <c:pt idx="13">
                  <c:v>49.139167862266845</c:v>
                </c:pt>
              </c:numCache>
            </c:numRef>
          </c:val>
        </c:ser>
        <c:marker val="1"/>
        <c:axId val="260335104"/>
        <c:axId val="260336640"/>
      </c:lineChart>
      <c:catAx>
        <c:axId val="2603351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60336640"/>
        <c:crosses val="autoZero"/>
        <c:auto val="1"/>
        <c:lblAlgn val="ctr"/>
        <c:lblOffset val="100"/>
      </c:catAx>
      <c:valAx>
        <c:axId val="260336640"/>
        <c:scaling>
          <c:orientation val="minMax"/>
          <c:min val="40"/>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60335104"/>
        <c:crosses val="autoZero"/>
        <c:crossBetween val="between"/>
      </c:valAx>
      <c:spPr>
        <a:noFill/>
        <a:ln>
          <a:noFill/>
        </a:ln>
        <a:effectLst/>
      </c:spPr>
    </c:plotArea>
    <c:legend>
      <c:legendPos val="t"/>
      <c:layout>
        <c:manualLayout>
          <c:xMode val="edge"/>
          <c:yMode val="edge"/>
          <c:x val="0.17863613474516177"/>
          <c:y val="0"/>
          <c:w val="0.64272773050967713"/>
          <c:h val="7.8782551538923815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503872598747266"/>
          <c:y val="1.4978486663526035E-2"/>
          <c:w val="0.44267104648728711"/>
          <c:h val="0.94657854947618725"/>
        </c:manualLayout>
      </c:layout>
      <c:barChart>
        <c:barDir val="bar"/>
        <c:grouping val="stacked"/>
        <c:ser>
          <c:idx val="0"/>
          <c:order val="0"/>
          <c:tx>
            <c:strRef>
              <c:f>'Vekstindeks reg figur'!$D$1</c:f>
              <c:strCache>
                <c:ptCount val="1"/>
                <c:pt idx="0">
                  <c:v>Vekst</c:v>
                </c:pt>
              </c:strCache>
            </c:strRef>
          </c:tx>
          <c:spPr>
            <a:solidFill>
              <a:schemeClr val="accent2"/>
            </a:solidFill>
            <a:ln>
              <a:noFill/>
            </a:ln>
            <a:effectLst/>
          </c:spPr>
          <c:dLbls>
            <c:dLbl>
              <c:idx val="15"/>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'Vekstindeks reg figur'!$B$2:$C$30</c:f>
              <c:multiLvlStrCache>
                <c:ptCount val="29"/>
                <c:lvl>
                  <c:pt idx="0">
                    <c:v>Grenland (80)</c:v>
                  </c:pt>
                  <c:pt idx="1">
                    <c:v>Hadeland (42)</c:v>
                  </c:pt>
                  <c:pt idx="2">
                    <c:v>Halden (78)</c:v>
                  </c:pt>
                  <c:pt idx="3">
                    <c:v>Øst-Telemark (79)</c:v>
                  </c:pt>
                  <c:pt idx="4">
                    <c:v>Mosseregionen (77)</c:v>
                  </c:pt>
                  <c:pt idx="5">
                    <c:v>Indre Østfold (71)</c:v>
                  </c:pt>
                  <c:pt idx="6">
                    <c:v>Kongsberg/Numedal (59)</c:v>
                  </c:pt>
                  <c:pt idx="7">
                    <c:v>Follo (75)</c:v>
                  </c:pt>
                  <c:pt idx="8">
                    <c:v>Drammensregionen (56)</c:v>
                  </c:pt>
                  <c:pt idx="9">
                    <c:v>Tønsbergregionen (69)</c:v>
                  </c:pt>
                  <c:pt idx="10">
                    <c:v>Osloregionen (76)</c:v>
                  </c:pt>
                  <c:pt idx="11">
                    <c:v>Midt-Buskerud (23)</c:v>
                  </c:pt>
                  <c:pt idx="12">
                    <c:v>Nedre Glomma (73)</c:v>
                  </c:pt>
                  <c:pt idx="13">
                    <c:v>Ringerike/Hole (58)</c:v>
                  </c:pt>
                  <c:pt idx="14">
                    <c:v>Midt-Telemark (29)</c:v>
                  </c:pt>
                  <c:pt idx="15">
                    <c:v>Glåmdal (57)</c:v>
                  </c:pt>
                  <c:pt idx="16">
                    <c:v>Midt-Gudbrandsdal (61)</c:v>
                  </c:pt>
                  <c:pt idx="17">
                    <c:v>Vest-Telemark (25)</c:v>
                  </c:pt>
                  <c:pt idx="18">
                    <c:v>Vestviken (26)</c:v>
                  </c:pt>
                  <c:pt idx="19">
                    <c:v>Sør Østerdal (48)</c:v>
                  </c:pt>
                  <c:pt idx="20">
                    <c:v>Hallingdal (47)</c:v>
                  </c:pt>
                  <c:pt idx="21">
                    <c:v>Valdres (37)</c:v>
                  </c:pt>
                  <c:pt idx="22">
                    <c:v>Fjellregionen (15)</c:v>
                  </c:pt>
                  <c:pt idx="23">
                    <c:v>Hamarregionen (35)</c:v>
                  </c:pt>
                  <c:pt idx="24">
                    <c:v>Sandefjord/Larvik (63)</c:v>
                  </c:pt>
                  <c:pt idx="25">
                    <c:v>Gjøvikregionen (30)</c:v>
                  </c:pt>
                  <c:pt idx="26">
                    <c:v>Nord-Gudbrandsdal (19)</c:v>
                  </c:pt>
                  <c:pt idx="27">
                    <c:v>Lillehammerreg. (30)</c:v>
                  </c:pt>
                  <c:pt idx="28">
                    <c:v>Øvre Romerike (18)</c:v>
                  </c:pt>
                </c:lvl>
                <c:lvl>
                  <c:pt idx="0">
                    <c:v>78</c:v>
                  </c:pt>
                  <c:pt idx="1">
                    <c:v>71</c:v>
                  </c:pt>
                  <c:pt idx="2">
                    <c:v>66</c:v>
                  </c:pt>
                  <c:pt idx="3">
                    <c:v>66</c:v>
                  </c:pt>
                  <c:pt idx="4">
                    <c:v>61</c:v>
                  </c:pt>
                  <c:pt idx="5">
                    <c:v>59</c:v>
                  </c:pt>
                  <c:pt idx="6">
                    <c:v>57</c:v>
                  </c:pt>
                  <c:pt idx="7">
                    <c:v>54</c:v>
                  </c:pt>
                  <c:pt idx="8">
                    <c:v>48</c:v>
                  </c:pt>
                  <c:pt idx="9">
                    <c:v>47</c:v>
                  </c:pt>
                  <c:pt idx="10">
                    <c:v>42</c:v>
                  </c:pt>
                  <c:pt idx="11">
                    <c:v>40</c:v>
                  </c:pt>
                  <c:pt idx="12">
                    <c:v>38</c:v>
                  </c:pt>
                  <c:pt idx="13">
                    <c:v>37</c:v>
                  </c:pt>
                  <c:pt idx="14">
                    <c:v>36</c:v>
                  </c:pt>
                  <c:pt idx="15">
                    <c:v>32</c:v>
                  </c:pt>
                  <c:pt idx="16">
                    <c:v>28</c:v>
                  </c:pt>
                  <c:pt idx="17">
                    <c:v>27</c:v>
                  </c:pt>
                  <c:pt idx="18">
                    <c:v>25</c:v>
                  </c:pt>
                  <c:pt idx="19">
                    <c:v>21</c:v>
                  </c:pt>
                  <c:pt idx="20">
                    <c:v>21</c:v>
                  </c:pt>
                  <c:pt idx="21">
                    <c:v>20</c:v>
                  </c:pt>
                  <c:pt idx="22">
                    <c:v>18</c:v>
                  </c:pt>
                  <c:pt idx="23">
                    <c:v>15</c:v>
                  </c:pt>
                  <c:pt idx="24">
                    <c:v>12</c:v>
                  </c:pt>
                  <c:pt idx="25">
                    <c:v>11</c:v>
                  </c:pt>
                  <c:pt idx="26">
                    <c:v>8</c:v>
                  </c:pt>
                  <c:pt idx="27">
                    <c:v>7</c:v>
                  </c:pt>
                  <c:pt idx="28">
                    <c:v>5</c:v>
                  </c:pt>
                </c:lvl>
              </c:multiLvlStrCache>
            </c:multiLvlStrRef>
          </c:cat>
          <c:val>
            <c:numRef>
              <c:f>'Vekstindeks reg figur'!$D$2:$D$30</c:f>
              <c:numCache>
                <c:formatCode>General</c:formatCode>
                <c:ptCount val="29"/>
                <c:pt idx="0">
                  <c:v>72</c:v>
                </c:pt>
                <c:pt idx="1">
                  <c:v>62</c:v>
                </c:pt>
                <c:pt idx="2">
                  <c:v>47</c:v>
                </c:pt>
                <c:pt idx="3">
                  <c:v>53</c:v>
                </c:pt>
                <c:pt idx="4">
                  <c:v>55</c:v>
                </c:pt>
                <c:pt idx="5">
                  <c:v>54</c:v>
                </c:pt>
                <c:pt idx="6">
                  <c:v>40</c:v>
                </c:pt>
                <c:pt idx="7">
                  <c:v>41</c:v>
                </c:pt>
                <c:pt idx="8">
                  <c:v>38</c:v>
                </c:pt>
                <c:pt idx="9">
                  <c:v>44</c:v>
                </c:pt>
                <c:pt idx="10">
                  <c:v>31</c:v>
                </c:pt>
                <c:pt idx="11">
                  <c:v>48</c:v>
                </c:pt>
                <c:pt idx="12">
                  <c:v>26</c:v>
                </c:pt>
                <c:pt idx="13">
                  <c:v>39</c:v>
                </c:pt>
                <c:pt idx="14">
                  <c:v>14</c:v>
                </c:pt>
                <c:pt idx="15">
                  <c:v>51</c:v>
                </c:pt>
                <c:pt idx="16">
                  <c:v>49</c:v>
                </c:pt>
                <c:pt idx="17">
                  <c:v>34</c:v>
                </c:pt>
                <c:pt idx="18">
                  <c:v>25</c:v>
                </c:pt>
                <c:pt idx="19">
                  <c:v>33</c:v>
                </c:pt>
                <c:pt idx="20">
                  <c:v>17</c:v>
                </c:pt>
                <c:pt idx="21">
                  <c:v>6</c:v>
                </c:pt>
                <c:pt idx="22">
                  <c:v>36</c:v>
                </c:pt>
                <c:pt idx="23">
                  <c:v>12</c:v>
                </c:pt>
                <c:pt idx="24">
                  <c:v>18</c:v>
                </c:pt>
                <c:pt idx="25">
                  <c:v>10</c:v>
                </c:pt>
                <c:pt idx="26">
                  <c:v>11</c:v>
                </c:pt>
                <c:pt idx="27">
                  <c:v>15</c:v>
                </c:pt>
                <c:pt idx="28">
                  <c:v>3</c:v>
                </c:pt>
              </c:numCache>
            </c:numRef>
          </c:val>
        </c:ser>
        <c:ser>
          <c:idx val="1"/>
          <c:order val="1"/>
          <c:tx>
            <c:strRef>
              <c:f>'Vekstindeks reg figur'!$E$1</c:f>
              <c:strCache>
                <c:ptCount val="1"/>
                <c:pt idx="0">
                  <c:v>Justert vekst</c:v>
                </c:pt>
              </c:strCache>
            </c:strRef>
          </c:tx>
          <c:spPr>
            <a:solidFill>
              <a:schemeClr val="bg1">
                <a:lumMod val="65000"/>
              </a:schemeClr>
            </a:solidFill>
            <a:ln>
              <a:noFill/>
            </a:ln>
            <a:effectLst/>
          </c:spPr>
          <c:dLbls>
            <c:dLbl>
              <c:idx val="15"/>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'Vekstindeks reg figur'!$B$2:$C$30</c:f>
              <c:multiLvlStrCache>
                <c:ptCount val="29"/>
                <c:lvl>
                  <c:pt idx="0">
                    <c:v>Grenland (80)</c:v>
                  </c:pt>
                  <c:pt idx="1">
                    <c:v>Hadeland (42)</c:v>
                  </c:pt>
                  <c:pt idx="2">
                    <c:v>Halden (78)</c:v>
                  </c:pt>
                  <c:pt idx="3">
                    <c:v>Øst-Telemark (79)</c:v>
                  </c:pt>
                  <c:pt idx="4">
                    <c:v>Mosseregionen (77)</c:v>
                  </c:pt>
                  <c:pt idx="5">
                    <c:v>Indre Østfold (71)</c:v>
                  </c:pt>
                  <c:pt idx="6">
                    <c:v>Kongsberg/Numedal (59)</c:v>
                  </c:pt>
                  <c:pt idx="7">
                    <c:v>Follo (75)</c:v>
                  </c:pt>
                  <c:pt idx="8">
                    <c:v>Drammensregionen (56)</c:v>
                  </c:pt>
                  <c:pt idx="9">
                    <c:v>Tønsbergregionen (69)</c:v>
                  </c:pt>
                  <c:pt idx="10">
                    <c:v>Osloregionen (76)</c:v>
                  </c:pt>
                  <c:pt idx="11">
                    <c:v>Midt-Buskerud (23)</c:v>
                  </c:pt>
                  <c:pt idx="12">
                    <c:v>Nedre Glomma (73)</c:v>
                  </c:pt>
                  <c:pt idx="13">
                    <c:v>Ringerike/Hole (58)</c:v>
                  </c:pt>
                  <c:pt idx="14">
                    <c:v>Midt-Telemark (29)</c:v>
                  </c:pt>
                  <c:pt idx="15">
                    <c:v>Glåmdal (57)</c:v>
                  </c:pt>
                  <c:pt idx="16">
                    <c:v>Midt-Gudbrandsdal (61)</c:v>
                  </c:pt>
                  <c:pt idx="17">
                    <c:v>Vest-Telemark (25)</c:v>
                  </c:pt>
                  <c:pt idx="18">
                    <c:v>Vestviken (26)</c:v>
                  </c:pt>
                  <c:pt idx="19">
                    <c:v>Sør Østerdal (48)</c:v>
                  </c:pt>
                  <c:pt idx="20">
                    <c:v>Hallingdal (47)</c:v>
                  </c:pt>
                  <c:pt idx="21">
                    <c:v>Valdres (37)</c:v>
                  </c:pt>
                  <c:pt idx="22">
                    <c:v>Fjellregionen (15)</c:v>
                  </c:pt>
                  <c:pt idx="23">
                    <c:v>Hamarregionen (35)</c:v>
                  </c:pt>
                  <c:pt idx="24">
                    <c:v>Sandefjord/Larvik (63)</c:v>
                  </c:pt>
                  <c:pt idx="25">
                    <c:v>Gjøvikregionen (30)</c:v>
                  </c:pt>
                  <c:pt idx="26">
                    <c:v>Nord-Gudbrandsdal (19)</c:v>
                  </c:pt>
                  <c:pt idx="27">
                    <c:v>Lillehammerreg. (30)</c:v>
                  </c:pt>
                  <c:pt idx="28">
                    <c:v>Øvre Romerike (18)</c:v>
                  </c:pt>
                </c:lvl>
                <c:lvl>
                  <c:pt idx="0">
                    <c:v>78</c:v>
                  </c:pt>
                  <c:pt idx="1">
                    <c:v>71</c:v>
                  </c:pt>
                  <c:pt idx="2">
                    <c:v>66</c:v>
                  </c:pt>
                  <c:pt idx="3">
                    <c:v>66</c:v>
                  </c:pt>
                  <c:pt idx="4">
                    <c:v>61</c:v>
                  </c:pt>
                  <c:pt idx="5">
                    <c:v>59</c:v>
                  </c:pt>
                  <c:pt idx="6">
                    <c:v>57</c:v>
                  </c:pt>
                  <c:pt idx="7">
                    <c:v>54</c:v>
                  </c:pt>
                  <c:pt idx="8">
                    <c:v>48</c:v>
                  </c:pt>
                  <c:pt idx="9">
                    <c:v>47</c:v>
                  </c:pt>
                  <c:pt idx="10">
                    <c:v>42</c:v>
                  </c:pt>
                  <c:pt idx="11">
                    <c:v>40</c:v>
                  </c:pt>
                  <c:pt idx="12">
                    <c:v>38</c:v>
                  </c:pt>
                  <c:pt idx="13">
                    <c:v>37</c:v>
                  </c:pt>
                  <c:pt idx="14">
                    <c:v>36</c:v>
                  </c:pt>
                  <c:pt idx="15">
                    <c:v>32</c:v>
                  </c:pt>
                  <c:pt idx="16">
                    <c:v>28</c:v>
                  </c:pt>
                  <c:pt idx="17">
                    <c:v>27</c:v>
                  </c:pt>
                  <c:pt idx="18">
                    <c:v>25</c:v>
                  </c:pt>
                  <c:pt idx="19">
                    <c:v>21</c:v>
                  </c:pt>
                  <c:pt idx="20">
                    <c:v>21</c:v>
                  </c:pt>
                  <c:pt idx="21">
                    <c:v>20</c:v>
                  </c:pt>
                  <c:pt idx="22">
                    <c:v>18</c:v>
                  </c:pt>
                  <c:pt idx="23">
                    <c:v>15</c:v>
                  </c:pt>
                  <c:pt idx="24">
                    <c:v>12</c:v>
                  </c:pt>
                  <c:pt idx="25">
                    <c:v>11</c:v>
                  </c:pt>
                  <c:pt idx="26">
                    <c:v>8</c:v>
                  </c:pt>
                  <c:pt idx="27">
                    <c:v>7</c:v>
                  </c:pt>
                  <c:pt idx="28">
                    <c:v>5</c:v>
                  </c:pt>
                </c:lvl>
              </c:multiLvlStrCache>
            </c:multiLvlStrRef>
          </c:cat>
          <c:val>
            <c:numRef>
              <c:f>'Vekstindeks reg figur'!$E$2:$E$30</c:f>
              <c:numCache>
                <c:formatCode>General</c:formatCode>
                <c:ptCount val="29"/>
                <c:pt idx="0">
                  <c:v>74</c:v>
                </c:pt>
                <c:pt idx="1">
                  <c:v>73</c:v>
                </c:pt>
                <c:pt idx="2">
                  <c:v>43</c:v>
                </c:pt>
                <c:pt idx="3">
                  <c:v>46</c:v>
                </c:pt>
                <c:pt idx="4">
                  <c:v>55</c:v>
                </c:pt>
                <c:pt idx="5">
                  <c:v>58</c:v>
                </c:pt>
                <c:pt idx="6">
                  <c:v>40</c:v>
                </c:pt>
                <c:pt idx="7">
                  <c:v>41</c:v>
                </c:pt>
                <c:pt idx="8">
                  <c:v>33</c:v>
                </c:pt>
                <c:pt idx="9">
                  <c:v>39</c:v>
                </c:pt>
                <c:pt idx="10">
                  <c:v>24</c:v>
                </c:pt>
                <c:pt idx="11">
                  <c:v>49</c:v>
                </c:pt>
                <c:pt idx="12">
                  <c:v>23</c:v>
                </c:pt>
                <c:pt idx="13">
                  <c:v>38</c:v>
                </c:pt>
                <c:pt idx="14">
                  <c:v>13</c:v>
                </c:pt>
                <c:pt idx="15">
                  <c:v>48</c:v>
                </c:pt>
                <c:pt idx="16">
                  <c:v>50</c:v>
                </c:pt>
                <c:pt idx="17">
                  <c:v>47</c:v>
                </c:pt>
                <c:pt idx="18">
                  <c:v>31</c:v>
                </c:pt>
                <c:pt idx="19">
                  <c:v>28</c:v>
                </c:pt>
                <c:pt idx="20">
                  <c:v>26</c:v>
                </c:pt>
                <c:pt idx="21">
                  <c:v>16</c:v>
                </c:pt>
                <c:pt idx="22">
                  <c:v>37</c:v>
                </c:pt>
                <c:pt idx="23">
                  <c:v>9</c:v>
                </c:pt>
                <c:pt idx="24">
                  <c:v>12</c:v>
                </c:pt>
                <c:pt idx="25">
                  <c:v>4</c:v>
                </c:pt>
                <c:pt idx="26">
                  <c:v>21</c:v>
                </c:pt>
                <c:pt idx="27">
                  <c:v>8</c:v>
                </c:pt>
                <c:pt idx="28">
                  <c:v>7</c:v>
                </c:pt>
              </c:numCache>
            </c:numRef>
          </c:val>
        </c:ser>
        <c:ser>
          <c:idx val="2"/>
          <c:order val="2"/>
          <c:tx>
            <c:strRef>
              <c:f>'Vekstindeks reg figur'!$F$1</c:f>
              <c:strCache>
                <c:ptCount val="1"/>
                <c:pt idx="0">
                  <c:v>Verdiskaping</c:v>
                </c:pt>
              </c:strCache>
            </c:strRef>
          </c:tx>
          <c:spPr>
            <a:solidFill>
              <a:schemeClr val="accent3">
                <a:lumMod val="50000"/>
              </a:schemeClr>
            </a:solidFill>
            <a:ln>
              <a:noFill/>
            </a:ln>
            <a:effectLst/>
          </c:spPr>
          <c:dLbls>
            <c:dLbl>
              <c:idx val="15"/>
              <c:layout>
                <c:manualLayout>
                  <c:x val="-4.425757911042349E-3"/>
                  <c:y val="-2.2792022792022791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'Vekstindeks reg figur'!$B$2:$C$30</c:f>
              <c:multiLvlStrCache>
                <c:ptCount val="29"/>
                <c:lvl>
                  <c:pt idx="0">
                    <c:v>Grenland (80)</c:v>
                  </c:pt>
                  <c:pt idx="1">
                    <c:v>Hadeland (42)</c:v>
                  </c:pt>
                  <c:pt idx="2">
                    <c:v>Halden (78)</c:v>
                  </c:pt>
                  <c:pt idx="3">
                    <c:v>Øst-Telemark (79)</c:v>
                  </c:pt>
                  <c:pt idx="4">
                    <c:v>Mosseregionen (77)</c:v>
                  </c:pt>
                  <c:pt idx="5">
                    <c:v>Indre Østfold (71)</c:v>
                  </c:pt>
                  <c:pt idx="6">
                    <c:v>Kongsberg/Numedal (59)</c:v>
                  </c:pt>
                  <c:pt idx="7">
                    <c:v>Follo (75)</c:v>
                  </c:pt>
                  <c:pt idx="8">
                    <c:v>Drammensregionen (56)</c:v>
                  </c:pt>
                  <c:pt idx="9">
                    <c:v>Tønsbergregionen (69)</c:v>
                  </c:pt>
                  <c:pt idx="10">
                    <c:v>Osloregionen (76)</c:v>
                  </c:pt>
                  <c:pt idx="11">
                    <c:v>Midt-Buskerud (23)</c:v>
                  </c:pt>
                  <c:pt idx="12">
                    <c:v>Nedre Glomma (73)</c:v>
                  </c:pt>
                  <c:pt idx="13">
                    <c:v>Ringerike/Hole (58)</c:v>
                  </c:pt>
                  <c:pt idx="14">
                    <c:v>Midt-Telemark (29)</c:v>
                  </c:pt>
                  <c:pt idx="15">
                    <c:v>Glåmdal (57)</c:v>
                  </c:pt>
                  <c:pt idx="16">
                    <c:v>Midt-Gudbrandsdal (61)</c:v>
                  </c:pt>
                  <c:pt idx="17">
                    <c:v>Vest-Telemark (25)</c:v>
                  </c:pt>
                  <c:pt idx="18">
                    <c:v>Vestviken (26)</c:v>
                  </c:pt>
                  <c:pt idx="19">
                    <c:v>Sør Østerdal (48)</c:v>
                  </c:pt>
                  <c:pt idx="20">
                    <c:v>Hallingdal (47)</c:v>
                  </c:pt>
                  <c:pt idx="21">
                    <c:v>Valdres (37)</c:v>
                  </c:pt>
                  <c:pt idx="22">
                    <c:v>Fjellregionen (15)</c:v>
                  </c:pt>
                  <c:pt idx="23">
                    <c:v>Hamarregionen (35)</c:v>
                  </c:pt>
                  <c:pt idx="24">
                    <c:v>Sandefjord/Larvik (63)</c:v>
                  </c:pt>
                  <c:pt idx="25">
                    <c:v>Gjøvikregionen (30)</c:v>
                  </c:pt>
                  <c:pt idx="26">
                    <c:v>Nord-Gudbrandsdal (19)</c:v>
                  </c:pt>
                  <c:pt idx="27">
                    <c:v>Lillehammerreg. (30)</c:v>
                  </c:pt>
                  <c:pt idx="28">
                    <c:v>Øvre Romerike (18)</c:v>
                  </c:pt>
                </c:lvl>
                <c:lvl>
                  <c:pt idx="0">
                    <c:v>78</c:v>
                  </c:pt>
                  <c:pt idx="1">
                    <c:v>71</c:v>
                  </c:pt>
                  <c:pt idx="2">
                    <c:v>66</c:v>
                  </c:pt>
                  <c:pt idx="3">
                    <c:v>66</c:v>
                  </c:pt>
                  <c:pt idx="4">
                    <c:v>61</c:v>
                  </c:pt>
                  <c:pt idx="5">
                    <c:v>59</c:v>
                  </c:pt>
                  <c:pt idx="6">
                    <c:v>57</c:v>
                  </c:pt>
                  <c:pt idx="7">
                    <c:v>54</c:v>
                  </c:pt>
                  <c:pt idx="8">
                    <c:v>48</c:v>
                  </c:pt>
                  <c:pt idx="9">
                    <c:v>47</c:v>
                  </c:pt>
                  <c:pt idx="10">
                    <c:v>42</c:v>
                  </c:pt>
                  <c:pt idx="11">
                    <c:v>40</c:v>
                  </c:pt>
                  <c:pt idx="12">
                    <c:v>38</c:v>
                  </c:pt>
                  <c:pt idx="13">
                    <c:v>37</c:v>
                  </c:pt>
                  <c:pt idx="14">
                    <c:v>36</c:v>
                  </c:pt>
                  <c:pt idx="15">
                    <c:v>32</c:v>
                  </c:pt>
                  <c:pt idx="16">
                    <c:v>28</c:v>
                  </c:pt>
                  <c:pt idx="17">
                    <c:v>27</c:v>
                  </c:pt>
                  <c:pt idx="18">
                    <c:v>25</c:v>
                  </c:pt>
                  <c:pt idx="19">
                    <c:v>21</c:v>
                  </c:pt>
                  <c:pt idx="20">
                    <c:v>21</c:v>
                  </c:pt>
                  <c:pt idx="21">
                    <c:v>20</c:v>
                  </c:pt>
                  <c:pt idx="22">
                    <c:v>18</c:v>
                  </c:pt>
                  <c:pt idx="23">
                    <c:v>15</c:v>
                  </c:pt>
                  <c:pt idx="24">
                    <c:v>12</c:v>
                  </c:pt>
                  <c:pt idx="25">
                    <c:v>11</c:v>
                  </c:pt>
                  <c:pt idx="26">
                    <c:v>8</c:v>
                  </c:pt>
                  <c:pt idx="27">
                    <c:v>7</c:v>
                  </c:pt>
                  <c:pt idx="28">
                    <c:v>5</c:v>
                  </c:pt>
                </c:lvl>
              </c:multiLvlStrCache>
            </c:multiLvlStrRef>
          </c:cat>
          <c:val>
            <c:numRef>
              <c:f>'Vekstindeks reg figur'!$F$2:$F$30</c:f>
              <c:numCache>
                <c:formatCode>General</c:formatCode>
                <c:ptCount val="29"/>
                <c:pt idx="0">
                  <c:v>80</c:v>
                </c:pt>
                <c:pt idx="1">
                  <c:v>38</c:v>
                </c:pt>
                <c:pt idx="2">
                  <c:v>78</c:v>
                </c:pt>
                <c:pt idx="3">
                  <c:v>75</c:v>
                </c:pt>
                <c:pt idx="4">
                  <c:v>67</c:v>
                </c:pt>
                <c:pt idx="5">
                  <c:v>57</c:v>
                </c:pt>
                <c:pt idx="6">
                  <c:v>64</c:v>
                </c:pt>
                <c:pt idx="7">
                  <c:v>65</c:v>
                </c:pt>
                <c:pt idx="8">
                  <c:v>63</c:v>
                </c:pt>
                <c:pt idx="9">
                  <c:v>62</c:v>
                </c:pt>
                <c:pt idx="10">
                  <c:v>76</c:v>
                </c:pt>
                <c:pt idx="11">
                  <c:v>14</c:v>
                </c:pt>
                <c:pt idx="12">
                  <c:v>59</c:v>
                </c:pt>
                <c:pt idx="13">
                  <c:v>44</c:v>
                </c:pt>
                <c:pt idx="14">
                  <c:v>45</c:v>
                </c:pt>
                <c:pt idx="15">
                  <c:v>29</c:v>
                </c:pt>
                <c:pt idx="16">
                  <c:v>6</c:v>
                </c:pt>
                <c:pt idx="17">
                  <c:v>4</c:v>
                </c:pt>
                <c:pt idx="18">
                  <c:v>23</c:v>
                </c:pt>
                <c:pt idx="19">
                  <c:v>25</c:v>
                </c:pt>
                <c:pt idx="20">
                  <c:v>15</c:v>
                </c:pt>
                <c:pt idx="21">
                  <c:v>24</c:v>
                </c:pt>
                <c:pt idx="22">
                  <c:v>19</c:v>
                </c:pt>
                <c:pt idx="23">
                  <c:v>41</c:v>
                </c:pt>
                <c:pt idx="24">
                  <c:v>39</c:v>
                </c:pt>
                <c:pt idx="25">
                  <c:v>40</c:v>
                </c:pt>
                <c:pt idx="26">
                  <c:v>7</c:v>
                </c:pt>
                <c:pt idx="27">
                  <c:v>26</c:v>
                </c:pt>
                <c:pt idx="28">
                  <c:v>22</c:v>
                </c:pt>
              </c:numCache>
            </c:numRef>
          </c:val>
        </c:ser>
        <c:ser>
          <c:idx val="3"/>
          <c:order val="3"/>
          <c:tx>
            <c:strRef>
              <c:f>'Vekstindeks reg figur'!$G$1</c:f>
              <c:strCache>
                <c:ptCount val="1"/>
                <c:pt idx="0">
                  <c:v>Justert verdiskapning</c:v>
                </c:pt>
              </c:strCache>
            </c:strRef>
          </c:tx>
          <c:spPr>
            <a:solidFill>
              <a:schemeClr val="accent6"/>
            </a:solidFill>
            <a:ln>
              <a:noFill/>
            </a:ln>
            <a:effectLst/>
          </c:spPr>
          <c:dLbls>
            <c:dLbl>
              <c:idx val="15"/>
              <c:layout>
                <c:manualLayout>
                  <c:x val="4.4257579110422676E-2"/>
                  <c:y val="2.2792022792022791E-3"/>
                </c:manualLayout>
              </c:layout>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'Vekstindeks reg figur'!$B$2:$C$30</c:f>
              <c:multiLvlStrCache>
                <c:ptCount val="29"/>
                <c:lvl>
                  <c:pt idx="0">
                    <c:v>Grenland (80)</c:v>
                  </c:pt>
                  <c:pt idx="1">
                    <c:v>Hadeland (42)</c:v>
                  </c:pt>
                  <c:pt idx="2">
                    <c:v>Halden (78)</c:v>
                  </c:pt>
                  <c:pt idx="3">
                    <c:v>Øst-Telemark (79)</c:v>
                  </c:pt>
                  <c:pt idx="4">
                    <c:v>Mosseregionen (77)</c:v>
                  </c:pt>
                  <c:pt idx="5">
                    <c:v>Indre Østfold (71)</c:v>
                  </c:pt>
                  <c:pt idx="6">
                    <c:v>Kongsberg/Numedal (59)</c:v>
                  </c:pt>
                  <c:pt idx="7">
                    <c:v>Follo (75)</c:v>
                  </c:pt>
                  <c:pt idx="8">
                    <c:v>Drammensregionen (56)</c:v>
                  </c:pt>
                  <c:pt idx="9">
                    <c:v>Tønsbergregionen (69)</c:v>
                  </c:pt>
                  <c:pt idx="10">
                    <c:v>Osloregionen (76)</c:v>
                  </c:pt>
                  <c:pt idx="11">
                    <c:v>Midt-Buskerud (23)</c:v>
                  </c:pt>
                  <c:pt idx="12">
                    <c:v>Nedre Glomma (73)</c:v>
                  </c:pt>
                  <c:pt idx="13">
                    <c:v>Ringerike/Hole (58)</c:v>
                  </c:pt>
                  <c:pt idx="14">
                    <c:v>Midt-Telemark (29)</c:v>
                  </c:pt>
                  <c:pt idx="15">
                    <c:v>Glåmdal (57)</c:v>
                  </c:pt>
                  <c:pt idx="16">
                    <c:v>Midt-Gudbrandsdal (61)</c:v>
                  </c:pt>
                  <c:pt idx="17">
                    <c:v>Vest-Telemark (25)</c:v>
                  </c:pt>
                  <c:pt idx="18">
                    <c:v>Vestviken (26)</c:v>
                  </c:pt>
                  <c:pt idx="19">
                    <c:v>Sør Østerdal (48)</c:v>
                  </c:pt>
                  <c:pt idx="20">
                    <c:v>Hallingdal (47)</c:v>
                  </c:pt>
                  <c:pt idx="21">
                    <c:v>Valdres (37)</c:v>
                  </c:pt>
                  <c:pt idx="22">
                    <c:v>Fjellregionen (15)</c:v>
                  </c:pt>
                  <c:pt idx="23">
                    <c:v>Hamarregionen (35)</c:v>
                  </c:pt>
                  <c:pt idx="24">
                    <c:v>Sandefjord/Larvik (63)</c:v>
                  </c:pt>
                  <c:pt idx="25">
                    <c:v>Gjøvikregionen (30)</c:v>
                  </c:pt>
                  <c:pt idx="26">
                    <c:v>Nord-Gudbrandsdal (19)</c:v>
                  </c:pt>
                  <c:pt idx="27">
                    <c:v>Lillehammerreg. (30)</c:v>
                  </c:pt>
                  <c:pt idx="28">
                    <c:v>Øvre Romerike (18)</c:v>
                  </c:pt>
                </c:lvl>
                <c:lvl>
                  <c:pt idx="0">
                    <c:v>78</c:v>
                  </c:pt>
                  <c:pt idx="1">
                    <c:v>71</c:v>
                  </c:pt>
                  <c:pt idx="2">
                    <c:v>66</c:v>
                  </c:pt>
                  <c:pt idx="3">
                    <c:v>66</c:v>
                  </c:pt>
                  <c:pt idx="4">
                    <c:v>61</c:v>
                  </c:pt>
                  <c:pt idx="5">
                    <c:v>59</c:v>
                  </c:pt>
                  <c:pt idx="6">
                    <c:v>57</c:v>
                  </c:pt>
                  <c:pt idx="7">
                    <c:v>54</c:v>
                  </c:pt>
                  <c:pt idx="8">
                    <c:v>48</c:v>
                  </c:pt>
                  <c:pt idx="9">
                    <c:v>47</c:v>
                  </c:pt>
                  <c:pt idx="10">
                    <c:v>42</c:v>
                  </c:pt>
                  <c:pt idx="11">
                    <c:v>40</c:v>
                  </c:pt>
                  <c:pt idx="12">
                    <c:v>38</c:v>
                  </c:pt>
                  <c:pt idx="13">
                    <c:v>37</c:v>
                  </c:pt>
                  <c:pt idx="14">
                    <c:v>36</c:v>
                  </c:pt>
                  <c:pt idx="15">
                    <c:v>32</c:v>
                  </c:pt>
                  <c:pt idx="16">
                    <c:v>28</c:v>
                  </c:pt>
                  <c:pt idx="17">
                    <c:v>27</c:v>
                  </c:pt>
                  <c:pt idx="18">
                    <c:v>25</c:v>
                  </c:pt>
                  <c:pt idx="19">
                    <c:v>21</c:v>
                  </c:pt>
                  <c:pt idx="20">
                    <c:v>21</c:v>
                  </c:pt>
                  <c:pt idx="21">
                    <c:v>20</c:v>
                  </c:pt>
                  <c:pt idx="22">
                    <c:v>18</c:v>
                  </c:pt>
                  <c:pt idx="23">
                    <c:v>15</c:v>
                  </c:pt>
                  <c:pt idx="24">
                    <c:v>12</c:v>
                  </c:pt>
                  <c:pt idx="25">
                    <c:v>11</c:v>
                  </c:pt>
                  <c:pt idx="26">
                    <c:v>8</c:v>
                  </c:pt>
                  <c:pt idx="27">
                    <c:v>7</c:v>
                  </c:pt>
                  <c:pt idx="28">
                    <c:v>5</c:v>
                  </c:pt>
                </c:lvl>
              </c:multiLvlStrCache>
            </c:multiLvlStrRef>
          </c:cat>
          <c:val>
            <c:numRef>
              <c:f>'Vekstindeks reg figur'!$G$2:$G$30</c:f>
              <c:numCache>
                <c:formatCode>General</c:formatCode>
                <c:ptCount val="29"/>
                <c:pt idx="0">
                  <c:v>73</c:v>
                </c:pt>
                <c:pt idx="1">
                  <c:v>76</c:v>
                </c:pt>
                <c:pt idx="2">
                  <c:v>74</c:v>
                </c:pt>
                <c:pt idx="3">
                  <c:v>68</c:v>
                </c:pt>
                <c:pt idx="4">
                  <c:v>49</c:v>
                </c:pt>
                <c:pt idx="5">
                  <c:v>55</c:v>
                </c:pt>
                <c:pt idx="6">
                  <c:v>58</c:v>
                </c:pt>
                <c:pt idx="7">
                  <c:v>53</c:v>
                </c:pt>
                <c:pt idx="8">
                  <c:v>52</c:v>
                </c:pt>
                <c:pt idx="9">
                  <c:v>39</c:v>
                </c:pt>
                <c:pt idx="10">
                  <c:v>34</c:v>
                </c:pt>
                <c:pt idx="11">
                  <c:v>48</c:v>
                </c:pt>
                <c:pt idx="12">
                  <c:v>37</c:v>
                </c:pt>
                <c:pt idx="13">
                  <c:v>22</c:v>
                </c:pt>
                <c:pt idx="14">
                  <c:v>70</c:v>
                </c:pt>
                <c:pt idx="15">
                  <c:v>11</c:v>
                </c:pt>
                <c:pt idx="16">
                  <c:v>25</c:v>
                </c:pt>
                <c:pt idx="17">
                  <c:v>40</c:v>
                </c:pt>
                <c:pt idx="18">
                  <c:v>36</c:v>
                </c:pt>
                <c:pt idx="19">
                  <c:v>15</c:v>
                </c:pt>
                <c:pt idx="20">
                  <c:v>43</c:v>
                </c:pt>
                <c:pt idx="21">
                  <c:v>54</c:v>
                </c:pt>
                <c:pt idx="22">
                  <c:v>3</c:v>
                </c:pt>
                <c:pt idx="23">
                  <c:v>29</c:v>
                </c:pt>
                <c:pt idx="24">
                  <c:v>14</c:v>
                </c:pt>
                <c:pt idx="25">
                  <c:v>24</c:v>
                </c:pt>
                <c:pt idx="26">
                  <c:v>18</c:v>
                </c:pt>
                <c:pt idx="27">
                  <c:v>4</c:v>
                </c:pt>
                <c:pt idx="28">
                  <c:v>19</c:v>
                </c:pt>
              </c:numCache>
            </c:numRef>
          </c:val>
        </c:ser>
        <c:gapWidth val="30"/>
        <c:overlap val="100"/>
        <c:axId val="260483712"/>
        <c:axId val="260374912"/>
      </c:barChart>
      <c:catAx>
        <c:axId val="26048371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60374912"/>
        <c:crosses val="autoZero"/>
        <c:auto val="1"/>
        <c:lblAlgn val="ctr"/>
        <c:lblOffset val="100"/>
      </c:catAx>
      <c:valAx>
        <c:axId val="260374912"/>
        <c:scaling>
          <c:orientation val="minMax"/>
          <c:max val="300"/>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60483712"/>
        <c:crosses val="autoZero"/>
        <c:crossBetween val="between"/>
      </c:valAx>
      <c:spPr>
        <a:noFill/>
        <a:ln>
          <a:noFill/>
        </a:ln>
        <a:effectLst/>
      </c:spPr>
    </c:plotArea>
    <c:legend>
      <c:legendPos val="t"/>
      <c:layout>
        <c:manualLayout>
          <c:xMode val="edge"/>
          <c:yMode val="edge"/>
          <c:x val="0.65501217083425511"/>
          <c:y val="1.5954415954415962E-2"/>
          <c:w val="0.34235467745111192"/>
          <c:h val="0.16574323081409709"/>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92135193627118"/>
          <c:y val="5.5137844611528819E-2"/>
          <c:w val="0.80494950596549419"/>
          <c:h val="0.7668334830629393"/>
        </c:manualLayout>
      </c:layout>
      <c:lineChart>
        <c:grouping val="standard"/>
        <c:ser>
          <c:idx val="0"/>
          <c:order val="0"/>
          <c:tx>
            <c:strRef>
              <c:f>'Indeks alle år'!$B$11</c:f>
              <c:strCache>
                <c:ptCount val="1"/>
                <c:pt idx="0">
                  <c:v>Glåmdal</c:v>
                </c:pt>
              </c:strCache>
            </c:strRef>
          </c:tx>
          <c:marker>
            <c:symbol val="square"/>
            <c:size val="5"/>
          </c:marker>
          <c:dLbls>
            <c:dLbl>
              <c:idx val="2"/>
              <c:layout>
                <c:manualLayout>
                  <c:x val="-4.4257579110422683E-3"/>
                  <c:y val="3.5052578868302452E-2"/>
                </c:manualLayout>
              </c:layout>
              <c:showVal val="1"/>
              <c:extLst>
                <c:ext xmlns:c15="http://schemas.microsoft.com/office/drawing/2012/chart" uri="{CE6537A1-D6FC-4f65-9D91-7224C49458BB}"/>
              </c:extLst>
            </c:dLbl>
            <c:dLbl>
              <c:idx val="3"/>
              <c:layout>
                <c:manualLayout>
                  <c:x val="4.0568978861581828E-17"/>
                  <c:y val="3.004506760140212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1"/>
              </c:ext>
            </c:extLst>
          </c:dLbls>
          <c:cat>
            <c:numRef>
              <c:f>'Indeks alle år'!$C$1:$P$1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'Indeks alle år'!$C$11:$P$11</c:f>
              <c:numCache>
                <c:formatCode>General</c:formatCode>
                <c:ptCount val="14"/>
                <c:pt idx="0">
                  <c:v>63</c:v>
                </c:pt>
                <c:pt idx="1">
                  <c:v>61</c:v>
                </c:pt>
                <c:pt idx="2">
                  <c:v>64</c:v>
                </c:pt>
                <c:pt idx="3">
                  <c:v>64</c:v>
                </c:pt>
                <c:pt idx="4">
                  <c:v>64</c:v>
                </c:pt>
                <c:pt idx="5">
                  <c:v>51</c:v>
                </c:pt>
                <c:pt idx="6">
                  <c:v>75</c:v>
                </c:pt>
                <c:pt idx="7">
                  <c:v>59</c:v>
                </c:pt>
                <c:pt idx="8">
                  <c:v>68</c:v>
                </c:pt>
                <c:pt idx="9">
                  <c:v>80</c:v>
                </c:pt>
                <c:pt idx="10">
                  <c:v>79</c:v>
                </c:pt>
                <c:pt idx="11">
                  <c:v>75</c:v>
                </c:pt>
                <c:pt idx="12">
                  <c:v>71</c:v>
                </c:pt>
                <c:pt idx="13">
                  <c:v>63</c:v>
                </c:pt>
              </c:numCache>
            </c:numRef>
          </c:val>
        </c:ser>
        <c:marker val="1"/>
        <c:axId val="260419584"/>
        <c:axId val="260421120"/>
      </c:lineChart>
      <c:catAx>
        <c:axId val="260419584"/>
        <c:scaling>
          <c:orientation val="minMax"/>
        </c:scaling>
        <c:axPos val="b"/>
        <c:numFmt formatCode="General" sourceLinked="1"/>
        <c:tickLblPos val="high"/>
        <c:txPr>
          <a:bodyPr rot="5400000" vert="horz"/>
          <a:lstStyle/>
          <a:p>
            <a:pPr>
              <a:defRPr/>
            </a:pPr>
            <a:endParaRPr lang="nb-NO"/>
          </a:p>
        </c:txPr>
        <c:crossAx val="260421120"/>
        <c:crosses val="max"/>
        <c:auto val="1"/>
        <c:lblAlgn val="ctr"/>
        <c:lblOffset val="100"/>
      </c:catAx>
      <c:valAx>
        <c:axId val="260421120"/>
        <c:scaling>
          <c:orientation val="maxMin"/>
          <c:max val="83"/>
          <c:min val="0"/>
        </c:scaling>
        <c:axPos val="l"/>
        <c:majorGridlines>
          <c:spPr>
            <a:ln>
              <a:solidFill>
                <a:srgbClr val="718F80">
                  <a:lumMod val="20000"/>
                  <a:lumOff val="80000"/>
                </a:srgbClr>
              </a:solidFill>
            </a:ln>
          </c:spPr>
        </c:majorGridlines>
        <c:numFmt formatCode="_(* #,##0_);_(* \(#,##0\);_(* &quot;-&quot;_);_(@_)" sourceLinked="0"/>
        <c:tickLblPos val="nextTo"/>
        <c:crossAx val="260419584"/>
        <c:crosses val="autoZero"/>
        <c:crossBetween val="between"/>
      </c:valAx>
    </c:plotArea>
    <c:legend>
      <c:legendPos val="t"/>
      <c:layout>
        <c:manualLayout>
          <c:xMode val="edge"/>
          <c:yMode val="edge"/>
          <c:x val="0.43355979042119625"/>
          <c:y val="5.6463435310446002E-2"/>
          <c:w val="0.45847715594523902"/>
          <c:h val="6.0586999274663336E-2"/>
        </c:manualLayout>
      </c:layout>
      <c:txPr>
        <a:bodyPr/>
        <a:lstStyle/>
        <a:p>
          <a:pPr>
            <a:defRPr sz="900"/>
          </a:pPr>
          <a:endParaRPr lang="nb-NO"/>
        </a:p>
      </c:txPr>
    </c:legend>
    <c:plotVisOnly val="1"/>
    <c:dispBlanksAs val="gap"/>
  </c:chart>
  <c:spPr>
    <a:ln>
      <a:noFill/>
    </a:ln>
  </c:spPr>
  <c:txPr>
    <a:bodyPr/>
    <a:lstStyle/>
    <a:p>
      <a:pPr>
        <a:defRPr sz="800">
          <a:latin typeface="Arial" pitchFamily="34" charset="0"/>
          <a:cs typeface="Arial" pitchFamily="34" charset="0"/>
        </a:defRPr>
      </a:pPr>
      <a:endParaRPr lang="nb-NO"/>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919534030848883"/>
          <c:y val="2.3882180514926212E-2"/>
          <c:w val="0.61710602955452509"/>
          <c:h val="0.95462763085285052"/>
        </c:manualLayout>
      </c:layout>
      <c:barChart>
        <c:barDir val="bar"/>
        <c:grouping val="stacked"/>
        <c:ser>
          <c:idx val="0"/>
          <c:order val="0"/>
          <c:tx>
            <c:strRef>
              <c:f>'INdeks 2012'!$D$1</c:f>
              <c:strCache>
                <c:ptCount val="1"/>
                <c:pt idx="0">
                  <c:v>Lønnsomhet</c:v>
                </c:pt>
              </c:strCache>
            </c:strRef>
          </c:tx>
          <c:spPr>
            <a:solidFill>
              <a:srgbClr val="9D2312"/>
            </a:solidFill>
          </c:spPr>
          <c:dLbls>
            <c:dLbl>
              <c:idx val="3"/>
              <c:showVal val="1"/>
              <c:extLst>
                <c:ext xmlns:c15="http://schemas.microsoft.com/office/drawing/2012/chart" uri="{CE6537A1-D6FC-4f65-9D91-7224C49458BB}"/>
              </c:extLst>
            </c:dLbl>
            <c:delete val="1"/>
            <c:spPr>
              <a:noFill/>
              <a:ln>
                <a:noFill/>
              </a:ln>
              <a:effectLst/>
            </c:spPr>
            <c:txPr>
              <a:bodyPr wrap="square" lIns="38100" tIns="19050" rIns="38100" bIns="19050" anchor="ctr">
                <a:spAutoFit/>
              </a:bodyPr>
              <a:lstStyle/>
              <a:p>
                <a:pPr>
                  <a:defRPr>
                    <a:solidFill>
                      <a:schemeClr val="bg1"/>
                    </a:solidFill>
                  </a:defRPr>
                </a:pPr>
                <a:endParaRPr lang="nb-NO"/>
              </a:p>
            </c:txPr>
            <c:extLst>
              <c:ext xmlns:c15="http://schemas.microsoft.com/office/drawing/2012/chart" uri="{CE6537A1-D6FC-4f65-9D91-7224C49458BB}">
                <c15:showLeaderLines val="1"/>
              </c:ext>
            </c:extLst>
          </c:dLbls>
          <c:cat>
            <c:multiLvlStrRef>
              <c:f>'INdeks 2012'!$B$2:$C$30</c:f>
              <c:multiLvlStrCache>
                <c:ptCount val="29"/>
                <c:lvl>
                  <c:pt idx="0">
                    <c:v>Øst-Telemark (74)</c:v>
                  </c:pt>
                  <c:pt idx="1">
                    <c:v>Midt-Telemark (65)</c:v>
                  </c:pt>
                  <c:pt idx="2">
                    <c:v>Hadeland (48)</c:v>
                  </c:pt>
                  <c:pt idx="3">
                    <c:v>Glåmdal (77)</c:v>
                  </c:pt>
                  <c:pt idx="4">
                    <c:v>Grenland (37)</c:v>
                  </c:pt>
                  <c:pt idx="5">
                    <c:v>Midt-Buskerud (44)</c:v>
                  </c:pt>
                  <c:pt idx="6">
                    <c:v>Halden (57)</c:v>
                  </c:pt>
                  <c:pt idx="7">
                    <c:v>Mosseregionen (50)</c:v>
                  </c:pt>
                  <c:pt idx="8">
                    <c:v>Sør Østerdal (74)</c:v>
                  </c:pt>
                  <c:pt idx="9">
                    <c:v>Indre Østfold (52)</c:v>
                  </c:pt>
                  <c:pt idx="10">
                    <c:v>Hallingdal (40)</c:v>
                  </c:pt>
                  <c:pt idx="11">
                    <c:v>Follo (46)</c:v>
                  </c:pt>
                  <c:pt idx="12">
                    <c:v>Tønsbergregionen (34)</c:v>
                  </c:pt>
                  <c:pt idx="13">
                    <c:v>Midt-Gudbrandsdal (70)</c:v>
                  </c:pt>
                  <c:pt idx="14">
                    <c:v>Vest-Telemark (60)</c:v>
                  </c:pt>
                  <c:pt idx="15">
                    <c:v>Nord-Gudbrandsdal (62)</c:v>
                  </c:pt>
                  <c:pt idx="16">
                    <c:v>Fjellregionen (58)</c:v>
                  </c:pt>
                  <c:pt idx="17">
                    <c:v>Kongsberg/Numedal (18)</c:v>
                  </c:pt>
                  <c:pt idx="18">
                    <c:v>Ringerike/Hole (21)</c:v>
                  </c:pt>
                  <c:pt idx="19">
                    <c:v>Nedre Glomma (32)</c:v>
                  </c:pt>
                  <c:pt idx="20">
                    <c:v>Valdres (33)</c:v>
                  </c:pt>
                  <c:pt idx="21">
                    <c:v>Sandefjord/Larvik (19)</c:v>
                  </c:pt>
                  <c:pt idx="22">
                    <c:v>Drammensregionen (12)</c:v>
                  </c:pt>
                  <c:pt idx="23">
                    <c:v>Gjøvikregionen (26)</c:v>
                  </c:pt>
                  <c:pt idx="24">
                    <c:v>Vestviken (11)</c:v>
                  </c:pt>
                  <c:pt idx="25">
                    <c:v>Osloregionen (7)</c:v>
                  </c:pt>
                  <c:pt idx="26">
                    <c:v>Hamarregionen (22)</c:v>
                  </c:pt>
                  <c:pt idx="27">
                    <c:v>Lillehammerreg. (14)</c:v>
                  </c:pt>
                  <c:pt idx="28">
                    <c:v>Øvre Romerike (5)</c:v>
                  </c:pt>
                </c:lvl>
                <c:lvl>
                  <c:pt idx="0">
                    <c:v>80</c:v>
                  </c:pt>
                  <c:pt idx="1">
                    <c:v>73</c:v>
                  </c:pt>
                  <c:pt idx="2">
                    <c:v>69</c:v>
                  </c:pt>
                  <c:pt idx="3">
                    <c:v>63</c:v>
                  </c:pt>
                  <c:pt idx="4">
                    <c:v>58</c:v>
                  </c:pt>
                  <c:pt idx="5">
                    <c:v>56</c:v>
                  </c:pt>
                  <c:pt idx="6">
                    <c:v>54</c:v>
                  </c:pt>
                  <c:pt idx="7">
                    <c:v>52</c:v>
                  </c:pt>
                  <c:pt idx="8">
                    <c:v>52</c:v>
                  </c:pt>
                  <c:pt idx="9">
                    <c:v>51</c:v>
                  </c:pt>
                  <c:pt idx="10">
                    <c:v>46</c:v>
                  </c:pt>
                  <c:pt idx="11">
                    <c:v>45</c:v>
                  </c:pt>
                  <c:pt idx="12">
                    <c:v>43</c:v>
                  </c:pt>
                  <c:pt idx="13">
                    <c:v>41</c:v>
                  </c:pt>
                  <c:pt idx="14">
                    <c:v>35</c:v>
                  </c:pt>
                  <c:pt idx="15">
                    <c:v>34</c:v>
                  </c:pt>
                  <c:pt idx="16">
                    <c:v>33</c:v>
                  </c:pt>
                  <c:pt idx="17">
                    <c:v>29</c:v>
                  </c:pt>
                  <c:pt idx="18">
                    <c:v>26</c:v>
                  </c:pt>
                  <c:pt idx="19">
                    <c:v>23</c:v>
                  </c:pt>
                  <c:pt idx="20">
                    <c:v>23</c:v>
                  </c:pt>
                  <c:pt idx="21">
                    <c:v>16</c:v>
                  </c:pt>
                  <c:pt idx="22">
                    <c:v>15</c:v>
                  </c:pt>
                  <c:pt idx="23">
                    <c:v>13</c:v>
                  </c:pt>
                  <c:pt idx="24">
                    <c:v>9</c:v>
                  </c:pt>
                  <c:pt idx="25">
                    <c:v>8</c:v>
                  </c:pt>
                  <c:pt idx="26">
                    <c:v>7</c:v>
                  </c:pt>
                  <c:pt idx="27">
                    <c:v>5</c:v>
                  </c:pt>
                  <c:pt idx="28">
                    <c:v>3</c:v>
                  </c:pt>
                </c:lvl>
              </c:multiLvlStrCache>
            </c:multiLvlStrRef>
          </c:cat>
          <c:val>
            <c:numRef>
              <c:f>'INdeks 2012'!$D$2:$D$30</c:f>
              <c:numCache>
                <c:formatCode>General</c:formatCode>
                <c:ptCount val="29"/>
                <c:pt idx="0">
                  <c:v>76</c:v>
                </c:pt>
                <c:pt idx="1">
                  <c:v>70</c:v>
                </c:pt>
                <c:pt idx="2">
                  <c:v>43</c:v>
                </c:pt>
                <c:pt idx="3">
                  <c:v>62</c:v>
                </c:pt>
                <c:pt idx="4">
                  <c:v>57</c:v>
                </c:pt>
                <c:pt idx="5">
                  <c:v>57</c:v>
                </c:pt>
                <c:pt idx="6">
                  <c:v>54</c:v>
                </c:pt>
                <c:pt idx="7">
                  <c:v>52</c:v>
                </c:pt>
                <c:pt idx="8">
                  <c:v>71</c:v>
                </c:pt>
                <c:pt idx="9">
                  <c:v>14</c:v>
                </c:pt>
                <c:pt idx="10">
                  <c:v>77</c:v>
                </c:pt>
                <c:pt idx="11">
                  <c:v>27</c:v>
                </c:pt>
                <c:pt idx="12">
                  <c:v>64</c:v>
                </c:pt>
                <c:pt idx="13">
                  <c:v>38</c:v>
                </c:pt>
                <c:pt idx="14">
                  <c:v>16</c:v>
                </c:pt>
                <c:pt idx="15">
                  <c:v>39</c:v>
                </c:pt>
                <c:pt idx="16">
                  <c:v>7</c:v>
                </c:pt>
                <c:pt idx="17">
                  <c:v>22</c:v>
                </c:pt>
                <c:pt idx="18">
                  <c:v>18</c:v>
                </c:pt>
                <c:pt idx="19">
                  <c:v>26</c:v>
                </c:pt>
                <c:pt idx="20">
                  <c:v>24</c:v>
                </c:pt>
                <c:pt idx="21">
                  <c:v>29</c:v>
                </c:pt>
                <c:pt idx="22">
                  <c:v>17</c:v>
                </c:pt>
                <c:pt idx="23">
                  <c:v>33</c:v>
                </c:pt>
                <c:pt idx="24">
                  <c:v>12</c:v>
                </c:pt>
                <c:pt idx="25">
                  <c:v>47</c:v>
                </c:pt>
                <c:pt idx="26">
                  <c:v>12</c:v>
                </c:pt>
                <c:pt idx="27">
                  <c:v>9</c:v>
                </c:pt>
                <c:pt idx="28">
                  <c:v>28</c:v>
                </c:pt>
              </c:numCache>
            </c:numRef>
          </c:val>
        </c:ser>
        <c:ser>
          <c:idx val="1"/>
          <c:order val="1"/>
          <c:tx>
            <c:strRef>
              <c:f>'INdeks 2012'!$E$1</c:f>
              <c:strCache>
                <c:ptCount val="1"/>
                <c:pt idx="0">
                  <c:v>Vekst</c:v>
                </c:pt>
              </c:strCache>
            </c:strRef>
          </c:tx>
          <c:spPr>
            <a:solidFill>
              <a:srgbClr val="A89A80"/>
            </a:solidFill>
          </c:spPr>
          <c:dLbls>
            <c:dLbl>
              <c:idx val="3"/>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1"/>
              </c:ext>
            </c:extLst>
          </c:dLbls>
          <c:cat>
            <c:multiLvlStrRef>
              <c:f>'INdeks 2012'!$B$2:$C$30</c:f>
              <c:multiLvlStrCache>
                <c:ptCount val="29"/>
                <c:lvl>
                  <c:pt idx="0">
                    <c:v>Øst-Telemark (74)</c:v>
                  </c:pt>
                  <c:pt idx="1">
                    <c:v>Midt-Telemark (65)</c:v>
                  </c:pt>
                  <c:pt idx="2">
                    <c:v>Hadeland (48)</c:v>
                  </c:pt>
                  <c:pt idx="3">
                    <c:v>Glåmdal (77)</c:v>
                  </c:pt>
                  <c:pt idx="4">
                    <c:v>Grenland (37)</c:v>
                  </c:pt>
                  <c:pt idx="5">
                    <c:v>Midt-Buskerud (44)</c:v>
                  </c:pt>
                  <c:pt idx="6">
                    <c:v>Halden (57)</c:v>
                  </c:pt>
                  <c:pt idx="7">
                    <c:v>Mosseregionen (50)</c:v>
                  </c:pt>
                  <c:pt idx="8">
                    <c:v>Sør Østerdal (74)</c:v>
                  </c:pt>
                  <c:pt idx="9">
                    <c:v>Indre Østfold (52)</c:v>
                  </c:pt>
                  <c:pt idx="10">
                    <c:v>Hallingdal (40)</c:v>
                  </c:pt>
                  <c:pt idx="11">
                    <c:v>Follo (46)</c:v>
                  </c:pt>
                  <c:pt idx="12">
                    <c:v>Tønsbergregionen (34)</c:v>
                  </c:pt>
                  <c:pt idx="13">
                    <c:v>Midt-Gudbrandsdal (70)</c:v>
                  </c:pt>
                  <c:pt idx="14">
                    <c:v>Vest-Telemark (60)</c:v>
                  </c:pt>
                  <c:pt idx="15">
                    <c:v>Nord-Gudbrandsdal (62)</c:v>
                  </c:pt>
                  <c:pt idx="16">
                    <c:v>Fjellregionen (58)</c:v>
                  </c:pt>
                  <c:pt idx="17">
                    <c:v>Kongsberg/Numedal (18)</c:v>
                  </c:pt>
                  <c:pt idx="18">
                    <c:v>Ringerike/Hole (21)</c:v>
                  </c:pt>
                  <c:pt idx="19">
                    <c:v>Nedre Glomma (32)</c:v>
                  </c:pt>
                  <c:pt idx="20">
                    <c:v>Valdres (33)</c:v>
                  </c:pt>
                  <c:pt idx="21">
                    <c:v>Sandefjord/Larvik (19)</c:v>
                  </c:pt>
                  <c:pt idx="22">
                    <c:v>Drammensregionen (12)</c:v>
                  </c:pt>
                  <c:pt idx="23">
                    <c:v>Gjøvikregionen (26)</c:v>
                  </c:pt>
                  <c:pt idx="24">
                    <c:v>Vestviken (11)</c:v>
                  </c:pt>
                  <c:pt idx="25">
                    <c:v>Osloregionen (7)</c:v>
                  </c:pt>
                  <c:pt idx="26">
                    <c:v>Hamarregionen (22)</c:v>
                  </c:pt>
                  <c:pt idx="27">
                    <c:v>Lillehammerreg. (14)</c:v>
                  </c:pt>
                  <c:pt idx="28">
                    <c:v>Øvre Romerike (5)</c:v>
                  </c:pt>
                </c:lvl>
                <c:lvl>
                  <c:pt idx="0">
                    <c:v>80</c:v>
                  </c:pt>
                  <c:pt idx="1">
                    <c:v>73</c:v>
                  </c:pt>
                  <c:pt idx="2">
                    <c:v>69</c:v>
                  </c:pt>
                  <c:pt idx="3">
                    <c:v>63</c:v>
                  </c:pt>
                  <c:pt idx="4">
                    <c:v>58</c:v>
                  </c:pt>
                  <c:pt idx="5">
                    <c:v>56</c:v>
                  </c:pt>
                  <c:pt idx="6">
                    <c:v>54</c:v>
                  </c:pt>
                  <c:pt idx="7">
                    <c:v>52</c:v>
                  </c:pt>
                  <c:pt idx="8">
                    <c:v>52</c:v>
                  </c:pt>
                  <c:pt idx="9">
                    <c:v>51</c:v>
                  </c:pt>
                  <c:pt idx="10">
                    <c:v>46</c:v>
                  </c:pt>
                  <c:pt idx="11">
                    <c:v>45</c:v>
                  </c:pt>
                  <c:pt idx="12">
                    <c:v>43</c:v>
                  </c:pt>
                  <c:pt idx="13">
                    <c:v>41</c:v>
                  </c:pt>
                  <c:pt idx="14">
                    <c:v>35</c:v>
                  </c:pt>
                  <c:pt idx="15">
                    <c:v>34</c:v>
                  </c:pt>
                  <c:pt idx="16">
                    <c:v>33</c:v>
                  </c:pt>
                  <c:pt idx="17">
                    <c:v>29</c:v>
                  </c:pt>
                  <c:pt idx="18">
                    <c:v>26</c:v>
                  </c:pt>
                  <c:pt idx="19">
                    <c:v>23</c:v>
                  </c:pt>
                  <c:pt idx="20">
                    <c:v>23</c:v>
                  </c:pt>
                  <c:pt idx="21">
                    <c:v>16</c:v>
                  </c:pt>
                  <c:pt idx="22">
                    <c:v>15</c:v>
                  </c:pt>
                  <c:pt idx="23">
                    <c:v>13</c:v>
                  </c:pt>
                  <c:pt idx="24">
                    <c:v>9</c:v>
                  </c:pt>
                  <c:pt idx="25">
                    <c:v>8</c:v>
                  </c:pt>
                  <c:pt idx="26">
                    <c:v>7</c:v>
                  </c:pt>
                  <c:pt idx="27">
                    <c:v>5</c:v>
                  </c:pt>
                  <c:pt idx="28">
                    <c:v>3</c:v>
                  </c:pt>
                </c:lvl>
              </c:multiLvlStrCache>
            </c:multiLvlStrRef>
          </c:cat>
          <c:val>
            <c:numRef>
              <c:f>'INdeks 2012'!$E$2:$E$30</c:f>
              <c:numCache>
                <c:formatCode>General</c:formatCode>
                <c:ptCount val="29"/>
                <c:pt idx="0">
                  <c:v>66</c:v>
                </c:pt>
                <c:pt idx="1">
                  <c:v>36</c:v>
                </c:pt>
                <c:pt idx="2">
                  <c:v>71</c:v>
                </c:pt>
                <c:pt idx="3">
                  <c:v>32</c:v>
                </c:pt>
                <c:pt idx="4">
                  <c:v>78</c:v>
                </c:pt>
                <c:pt idx="5">
                  <c:v>40</c:v>
                </c:pt>
                <c:pt idx="6">
                  <c:v>66</c:v>
                </c:pt>
                <c:pt idx="7">
                  <c:v>61</c:v>
                </c:pt>
                <c:pt idx="8">
                  <c:v>21</c:v>
                </c:pt>
                <c:pt idx="9">
                  <c:v>59</c:v>
                </c:pt>
                <c:pt idx="10">
                  <c:v>21</c:v>
                </c:pt>
                <c:pt idx="11">
                  <c:v>54</c:v>
                </c:pt>
                <c:pt idx="12">
                  <c:v>47</c:v>
                </c:pt>
                <c:pt idx="13">
                  <c:v>28</c:v>
                </c:pt>
                <c:pt idx="14">
                  <c:v>27</c:v>
                </c:pt>
                <c:pt idx="15">
                  <c:v>8</c:v>
                </c:pt>
                <c:pt idx="16">
                  <c:v>18</c:v>
                </c:pt>
                <c:pt idx="17">
                  <c:v>57</c:v>
                </c:pt>
                <c:pt idx="18">
                  <c:v>36</c:v>
                </c:pt>
                <c:pt idx="19">
                  <c:v>38</c:v>
                </c:pt>
                <c:pt idx="20">
                  <c:v>20</c:v>
                </c:pt>
                <c:pt idx="21">
                  <c:v>12</c:v>
                </c:pt>
                <c:pt idx="22">
                  <c:v>48</c:v>
                </c:pt>
                <c:pt idx="23">
                  <c:v>11</c:v>
                </c:pt>
                <c:pt idx="24">
                  <c:v>25</c:v>
                </c:pt>
                <c:pt idx="25">
                  <c:v>42</c:v>
                </c:pt>
                <c:pt idx="26">
                  <c:v>15</c:v>
                </c:pt>
                <c:pt idx="27">
                  <c:v>7</c:v>
                </c:pt>
                <c:pt idx="28">
                  <c:v>5</c:v>
                </c:pt>
              </c:numCache>
            </c:numRef>
          </c:val>
        </c:ser>
        <c:ser>
          <c:idx val="2"/>
          <c:order val="2"/>
          <c:tx>
            <c:strRef>
              <c:f>'INdeks 2012'!$F$1</c:f>
              <c:strCache>
                <c:ptCount val="1"/>
                <c:pt idx="0">
                  <c:v>Nyetableringer</c:v>
                </c:pt>
              </c:strCache>
            </c:strRef>
          </c:tx>
          <c:spPr>
            <a:solidFill>
              <a:srgbClr val="337749"/>
            </a:solidFill>
          </c:spPr>
          <c:dLbls>
            <c:dLbl>
              <c:idx val="3"/>
              <c:showVal val="1"/>
              <c:extLst>
                <c:ext xmlns:c15="http://schemas.microsoft.com/office/drawing/2012/chart" uri="{CE6537A1-D6FC-4f65-9D91-7224C49458BB}"/>
              </c:extLst>
            </c:dLbl>
            <c:delete val="1"/>
            <c:spPr>
              <a:noFill/>
              <a:ln>
                <a:noFill/>
              </a:ln>
              <a:effectLst/>
            </c:spPr>
            <c:txPr>
              <a:bodyPr wrap="square" lIns="38100" tIns="19050" rIns="38100" bIns="19050" anchor="ctr">
                <a:spAutoFit/>
              </a:bodyPr>
              <a:lstStyle/>
              <a:p>
                <a:pPr>
                  <a:defRPr>
                    <a:solidFill>
                      <a:schemeClr val="bg1"/>
                    </a:solidFill>
                  </a:defRPr>
                </a:pPr>
                <a:endParaRPr lang="nb-NO"/>
              </a:p>
            </c:txPr>
            <c:extLst>
              <c:ext xmlns:c15="http://schemas.microsoft.com/office/drawing/2012/chart" uri="{CE6537A1-D6FC-4f65-9D91-7224C49458BB}">
                <c15:showLeaderLines val="1"/>
              </c:ext>
            </c:extLst>
          </c:dLbls>
          <c:cat>
            <c:multiLvlStrRef>
              <c:f>'INdeks 2012'!$B$2:$C$30</c:f>
              <c:multiLvlStrCache>
                <c:ptCount val="29"/>
                <c:lvl>
                  <c:pt idx="0">
                    <c:v>Øst-Telemark (74)</c:v>
                  </c:pt>
                  <c:pt idx="1">
                    <c:v>Midt-Telemark (65)</c:v>
                  </c:pt>
                  <c:pt idx="2">
                    <c:v>Hadeland (48)</c:v>
                  </c:pt>
                  <c:pt idx="3">
                    <c:v>Glåmdal (77)</c:v>
                  </c:pt>
                  <c:pt idx="4">
                    <c:v>Grenland (37)</c:v>
                  </c:pt>
                  <c:pt idx="5">
                    <c:v>Midt-Buskerud (44)</c:v>
                  </c:pt>
                  <c:pt idx="6">
                    <c:v>Halden (57)</c:v>
                  </c:pt>
                  <c:pt idx="7">
                    <c:v>Mosseregionen (50)</c:v>
                  </c:pt>
                  <c:pt idx="8">
                    <c:v>Sør Østerdal (74)</c:v>
                  </c:pt>
                  <c:pt idx="9">
                    <c:v>Indre Østfold (52)</c:v>
                  </c:pt>
                  <c:pt idx="10">
                    <c:v>Hallingdal (40)</c:v>
                  </c:pt>
                  <c:pt idx="11">
                    <c:v>Follo (46)</c:v>
                  </c:pt>
                  <c:pt idx="12">
                    <c:v>Tønsbergregionen (34)</c:v>
                  </c:pt>
                  <c:pt idx="13">
                    <c:v>Midt-Gudbrandsdal (70)</c:v>
                  </c:pt>
                  <c:pt idx="14">
                    <c:v>Vest-Telemark (60)</c:v>
                  </c:pt>
                  <c:pt idx="15">
                    <c:v>Nord-Gudbrandsdal (62)</c:v>
                  </c:pt>
                  <c:pt idx="16">
                    <c:v>Fjellregionen (58)</c:v>
                  </c:pt>
                  <c:pt idx="17">
                    <c:v>Kongsberg/Numedal (18)</c:v>
                  </c:pt>
                  <c:pt idx="18">
                    <c:v>Ringerike/Hole (21)</c:v>
                  </c:pt>
                  <c:pt idx="19">
                    <c:v>Nedre Glomma (32)</c:v>
                  </c:pt>
                  <c:pt idx="20">
                    <c:v>Valdres (33)</c:v>
                  </c:pt>
                  <c:pt idx="21">
                    <c:v>Sandefjord/Larvik (19)</c:v>
                  </c:pt>
                  <c:pt idx="22">
                    <c:v>Drammensregionen (12)</c:v>
                  </c:pt>
                  <c:pt idx="23">
                    <c:v>Gjøvikregionen (26)</c:v>
                  </c:pt>
                  <c:pt idx="24">
                    <c:v>Vestviken (11)</c:v>
                  </c:pt>
                  <c:pt idx="25">
                    <c:v>Osloregionen (7)</c:v>
                  </c:pt>
                  <c:pt idx="26">
                    <c:v>Hamarregionen (22)</c:v>
                  </c:pt>
                  <c:pt idx="27">
                    <c:v>Lillehammerreg. (14)</c:v>
                  </c:pt>
                  <c:pt idx="28">
                    <c:v>Øvre Romerike (5)</c:v>
                  </c:pt>
                </c:lvl>
                <c:lvl>
                  <c:pt idx="0">
                    <c:v>80</c:v>
                  </c:pt>
                  <c:pt idx="1">
                    <c:v>73</c:v>
                  </c:pt>
                  <c:pt idx="2">
                    <c:v>69</c:v>
                  </c:pt>
                  <c:pt idx="3">
                    <c:v>63</c:v>
                  </c:pt>
                  <c:pt idx="4">
                    <c:v>58</c:v>
                  </c:pt>
                  <c:pt idx="5">
                    <c:v>56</c:v>
                  </c:pt>
                  <c:pt idx="6">
                    <c:v>54</c:v>
                  </c:pt>
                  <c:pt idx="7">
                    <c:v>52</c:v>
                  </c:pt>
                  <c:pt idx="8">
                    <c:v>52</c:v>
                  </c:pt>
                  <c:pt idx="9">
                    <c:v>51</c:v>
                  </c:pt>
                  <c:pt idx="10">
                    <c:v>46</c:v>
                  </c:pt>
                  <c:pt idx="11">
                    <c:v>45</c:v>
                  </c:pt>
                  <c:pt idx="12">
                    <c:v>43</c:v>
                  </c:pt>
                  <c:pt idx="13">
                    <c:v>41</c:v>
                  </c:pt>
                  <c:pt idx="14">
                    <c:v>35</c:v>
                  </c:pt>
                  <c:pt idx="15">
                    <c:v>34</c:v>
                  </c:pt>
                  <c:pt idx="16">
                    <c:v>33</c:v>
                  </c:pt>
                  <c:pt idx="17">
                    <c:v>29</c:v>
                  </c:pt>
                  <c:pt idx="18">
                    <c:v>26</c:v>
                  </c:pt>
                  <c:pt idx="19">
                    <c:v>23</c:v>
                  </c:pt>
                  <c:pt idx="20">
                    <c:v>23</c:v>
                  </c:pt>
                  <c:pt idx="21">
                    <c:v>16</c:v>
                  </c:pt>
                  <c:pt idx="22">
                    <c:v>15</c:v>
                  </c:pt>
                  <c:pt idx="23">
                    <c:v>13</c:v>
                  </c:pt>
                  <c:pt idx="24">
                    <c:v>9</c:v>
                  </c:pt>
                  <c:pt idx="25">
                    <c:v>8</c:v>
                  </c:pt>
                  <c:pt idx="26">
                    <c:v>7</c:v>
                  </c:pt>
                  <c:pt idx="27">
                    <c:v>5</c:v>
                  </c:pt>
                  <c:pt idx="28">
                    <c:v>3</c:v>
                  </c:pt>
                </c:lvl>
              </c:multiLvlStrCache>
            </c:multiLvlStrRef>
          </c:cat>
          <c:val>
            <c:numRef>
              <c:f>'INdeks 2012'!$F$2:$F$30</c:f>
              <c:numCache>
                <c:formatCode>0</c:formatCode>
                <c:ptCount val="29"/>
                <c:pt idx="0">
                  <c:v>71</c:v>
                </c:pt>
                <c:pt idx="1">
                  <c:v>49</c:v>
                </c:pt>
                <c:pt idx="2">
                  <c:v>35</c:v>
                </c:pt>
                <c:pt idx="3">
                  <c:v>39</c:v>
                </c:pt>
                <c:pt idx="4">
                  <c:v>18</c:v>
                </c:pt>
                <c:pt idx="5">
                  <c:v>53</c:v>
                </c:pt>
                <c:pt idx="6">
                  <c:v>5</c:v>
                </c:pt>
                <c:pt idx="7">
                  <c:v>15</c:v>
                </c:pt>
                <c:pt idx="8">
                  <c:v>25</c:v>
                </c:pt>
                <c:pt idx="9">
                  <c:v>35</c:v>
                </c:pt>
                <c:pt idx="10">
                  <c:v>64</c:v>
                </c:pt>
                <c:pt idx="11">
                  <c:v>13</c:v>
                </c:pt>
                <c:pt idx="12">
                  <c:v>16</c:v>
                </c:pt>
                <c:pt idx="13">
                  <c:v>58</c:v>
                </c:pt>
                <c:pt idx="14">
                  <c:v>72</c:v>
                </c:pt>
                <c:pt idx="15">
                  <c:v>68</c:v>
                </c:pt>
                <c:pt idx="16">
                  <c:v>75</c:v>
                </c:pt>
                <c:pt idx="17">
                  <c:v>55</c:v>
                </c:pt>
                <c:pt idx="18">
                  <c:v>28</c:v>
                </c:pt>
                <c:pt idx="19">
                  <c:v>11</c:v>
                </c:pt>
                <c:pt idx="20">
                  <c:v>59</c:v>
                </c:pt>
                <c:pt idx="21">
                  <c:v>50</c:v>
                </c:pt>
                <c:pt idx="22">
                  <c:v>6</c:v>
                </c:pt>
                <c:pt idx="23">
                  <c:v>32</c:v>
                </c:pt>
                <c:pt idx="24">
                  <c:v>24</c:v>
                </c:pt>
                <c:pt idx="25">
                  <c:v>2</c:v>
                </c:pt>
                <c:pt idx="26">
                  <c:v>17</c:v>
                </c:pt>
                <c:pt idx="27">
                  <c:v>27</c:v>
                </c:pt>
                <c:pt idx="28">
                  <c:v>2</c:v>
                </c:pt>
              </c:numCache>
            </c:numRef>
          </c:val>
        </c:ser>
        <c:ser>
          <c:idx val="3"/>
          <c:order val="3"/>
          <c:tx>
            <c:strRef>
              <c:f>'INdeks 2012'!$G$1</c:f>
              <c:strCache>
                <c:ptCount val="1"/>
                <c:pt idx="0">
                  <c:v>Størrelse</c:v>
                </c:pt>
              </c:strCache>
            </c:strRef>
          </c:tx>
          <c:spPr>
            <a:solidFill>
              <a:srgbClr val="EB7C10"/>
            </a:solidFill>
          </c:spPr>
          <c:dLbls>
            <c:dLbl>
              <c:idx val="3"/>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1"/>
              </c:ext>
            </c:extLst>
          </c:dLbls>
          <c:cat>
            <c:multiLvlStrRef>
              <c:f>'INdeks 2012'!$B$2:$C$30</c:f>
              <c:multiLvlStrCache>
                <c:ptCount val="29"/>
                <c:lvl>
                  <c:pt idx="0">
                    <c:v>Øst-Telemark (74)</c:v>
                  </c:pt>
                  <c:pt idx="1">
                    <c:v>Midt-Telemark (65)</c:v>
                  </c:pt>
                  <c:pt idx="2">
                    <c:v>Hadeland (48)</c:v>
                  </c:pt>
                  <c:pt idx="3">
                    <c:v>Glåmdal (77)</c:v>
                  </c:pt>
                  <c:pt idx="4">
                    <c:v>Grenland (37)</c:v>
                  </c:pt>
                  <c:pt idx="5">
                    <c:v>Midt-Buskerud (44)</c:v>
                  </c:pt>
                  <c:pt idx="6">
                    <c:v>Halden (57)</c:v>
                  </c:pt>
                  <c:pt idx="7">
                    <c:v>Mosseregionen (50)</c:v>
                  </c:pt>
                  <c:pt idx="8">
                    <c:v>Sør Østerdal (74)</c:v>
                  </c:pt>
                  <c:pt idx="9">
                    <c:v>Indre Østfold (52)</c:v>
                  </c:pt>
                  <c:pt idx="10">
                    <c:v>Hallingdal (40)</c:v>
                  </c:pt>
                  <c:pt idx="11">
                    <c:v>Follo (46)</c:v>
                  </c:pt>
                  <c:pt idx="12">
                    <c:v>Tønsbergregionen (34)</c:v>
                  </c:pt>
                  <c:pt idx="13">
                    <c:v>Midt-Gudbrandsdal (70)</c:v>
                  </c:pt>
                  <c:pt idx="14">
                    <c:v>Vest-Telemark (60)</c:v>
                  </c:pt>
                  <c:pt idx="15">
                    <c:v>Nord-Gudbrandsdal (62)</c:v>
                  </c:pt>
                  <c:pt idx="16">
                    <c:v>Fjellregionen (58)</c:v>
                  </c:pt>
                  <c:pt idx="17">
                    <c:v>Kongsberg/Numedal (18)</c:v>
                  </c:pt>
                  <c:pt idx="18">
                    <c:v>Ringerike/Hole (21)</c:v>
                  </c:pt>
                  <c:pt idx="19">
                    <c:v>Nedre Glomma (32)</c:v>
                  </c:pt>
                  <c:pt idx="20">
                    <c:v>Valdres (33)</c:v>
                  </c:pt>
                  <c:pt idx="21">
                    <c:v>Sandefjord/Larvik (19)</c:v>
                  </c:pt>
                  <c:pt idx="22">
                    <c:v>Drammensregionen (12)</c:v>
                  </c:pt>
                  <c:pt idx="23">
                    <c:v>Gjøvikregionen (26)</c:v>
                  </c:pt>
                  <c:pt idx="24">
                    <c:v>Vestviken (11)</c:v>
                  </c:pt>
                  <c:pt idx="25">
                    <c:v>Osloregionen (7)</c:v>
                  </c:pt>
                  <c:pt idx="26">
                    <c:v>Hamarregionen (22)</c:v>
                  </c:pt>
                  <c:pt idx="27">
                    <c:v>Lillehammerreg. (14)</c:v>
                  </c:pt>
                  <c:pt idx="28">
                    <c:v>Øvre Romerike (5)</c:v>
                  </c:pt>
                </c:lvl>
                <c:lvl>
                  <c:pt idx="0">
                    <c:v>80</c:v>
                  </c:pt>
                  <c:pt idx="1">
                    <c:v>73</c:v>
                  </c:pt>
                  <c:pt idx="2">
                    <c:v>69</c:v>
                  </c:pt>
                  <c:pt idx="3">
                    <c:v>63</c:v>
                  </c:pt>
                  <c:pt idx="4">
                    <c:v>58</c:v>
                  </c:pt>
                  <c:pt idx="5">
                    <c:v>56</c:v>
                  </c:pt>
                  <c:pt idx="6">
                    <c:v>54</c:v>
                  </c:pt>
                  <c:pt idx="7">
                    <c:v>52</c:v>
                  </c:pt>
                  <c:pt idx="8">
                    <c:v>52</c:v>
                  </c:pt>
                  <c:pt idx="9">
                    <c:v>51</c:v>
                  </c:pt>
                  <c:pt idx="10">
                    <c:v>46</c:v>
                  </c:pt>
                  <c:pt idx="11">
                    <c:v>45</c:v>
                  </c:pt>
                  <c:pt idx="12">
                    <c:v>43</c:v>
                  </c:pt>
                  <c:pt idx="13">
                    <c:v>41</c:v>
                  </c:pt>
                  <c:pt idx="14">
                    <c:v>35</c:v>
                  </c:pt>
                  <c:pt idx="15">
                    <c:v>34</c:v>
                  </c:pt>
                  <c:pt idx="16">
                    <c:v>33</c:v>
                  </c:pt>
                  <c:pt idx="17">
                    <c:v>29</c:v>
                  </c:pt>
                  <c:pt idx="18">
                    <c:v>26</c:v>
                  </c:pt>
                  <c:pt idx="19">
                    <c:v>23</c:v>
                  </c:pt>
                  <c:pt idx="20">
                    <c:v>23</c:v>
                  </c:pt>
                  <c:pt idx="21">
                    <c:v>16</c:v>
                  </c:pt>
                  <c:pt idx="22">
                    <c:v>15</c:v>
                  </c:pt>
                  <c:pt idx="23">
                    <c:v>13</c:v>
                  </c:pt>
                  <c:pt idx="24">
                    <c:v>9</c:v>
                  </c:pt>
                  <c:pt idx="25">
                    <c:v>8</c:v>
                  </c:pt>
                  <c:pt idx="26">
                    <c:v>7</c:v>
                  </c:pt>
                  <c:pt idx="27">
                    <c:v>5</c:v>
                  </c:pt>
                  <c:pt idx="28">
                    <c:v>3</c:v>
                  </c:pt>
                </c:lvl>
              </c:multiLvlStrCache>
            </c:multiLvlStrRef>
          </c:cat>
          <c:val>
            <c:numRef>
              <c:f>'INdeks 2012'!$G$2:$G$30</c:f>
              <c:numCache>
                <c:formatCode>General</c:formatCode>
                <c:ptCount val="29"/>
                <c:pt idx="0">
                  <c:v>68</c:v>
                </c:pt>
                <c:pt idx="1">
                  <c:v>76</c:v>
                </c:pt>
                <c:pt idx="2">
                  <c:v>77</c:v>
                </c:pt>
                <c:pt idx="3">
                  <c:v>78</c:v>
                </c:pt>
                <c:pt idx="4">
                  <c:v>42</c:v>
                </c:pt>
                <c:pt idx="5">
                  <c:v>43</c:v>
                </c:pt>
                <c:pt idx="6">
                  <c:v>63</c:v>
                </c:pt>
                <c:pt idx="7">
                  <c:v>58</c:v>
                </c:pt>
                <c:pt idx="8">
                  <c:v>69</c:v>
                </c:pt>
                <c:pt idx="9">
                  <c:v>75</c:v>
                </c:pt>
                <c:pt idx="10">
                  <c:v>11</c:v>
                </c:pt>
                <c:pt idx="11">
                  <c:v>72</c:v>
                </c:pt>
                <c:pt idx="12">
                  <c:v>38</c:v>
                </c:pt>
                <c:pt idx="13">
                  <c:v>37</c:v>
                </c:pt>
                <c:pt idx="14">
                  <c:v>34</c:v>
                </c:pt>
                <c:pt idx="15">
                  <c:v>33</c:v>
                </c:pt>
                <c:pt idx="16">
                  <c:v>44</c:v>
                </c:pt>
                <c:pt idx="17">
                  <c:v>2</c:v>
                </c:pt>
                <c:pt idx="18">
                  <c:v>50</c:v>
                </c:pt>
                <c:pt idx="19">
                  <c:v>48</c:v>
                </c:pt>
                <c:pt idx="20">
                  <c:v>20</c:v>
                </c:pt>
                <c:pt idx="21">
                  <c:v>23</c:v>
                </c:pt>
                <c:pt idx="22">
                  <c:v>39</c:v>
                </c:pt>
                <c:pt idx="23">
                  <c:v>32</c:v>
                </c:pt>
                <c:pt idx="24">
                  <c:v>40</c:v>
                </c:pt>
                <c:pt idx="25">
                  <c:v>1</c:v>
                </c:pt>
                <c:pt idx="26">
                  <c:v>41</c:v>
                </c:pt>
                <c:pt idx="27">
                  <c:v>28</c:v>
                </c:pt>
                <c:pt idx="28">
                  <c:v>25</c:v>
                </c:pt>
              </c:numCache>
            </c:numRef>
          </c:val>
        </c:ser>
        <c:gapWidth val="30"/>
        <c:overlap val="100"/>
        <c:axId val="261759744"/>
        <c:axId val="261761280"/>
      </c:barChart>
      <c:catAx>
        <c:axId val="261759744"/>
        <c:scaling>
          <c:orientation val="minMax"/>
        </c:scaling>
        <c:axPos val="l"/>
        <c:numFmt formatCode="General" sourceLinked="0"/>
        <c:tickLblPos val="nextTo"/>
        <c:txPr>
          <a:bodyPr/>
          <a:lstStyle/>
          <a:p>
            <a:pPr>
              <a:defRPr sz="900"/>
            </a:pPr>
            <a:endParaRPr lang="nb-NO"/>
          </a:p>
        </c:txPr>
        <c:crossAx val="261761280"/>
        <c:crosses val="autoZero"/>
        <c:auto val="1"/>
        <c:lblAlgn val="ctr"/>
        <c:lblOffset val="100"/>
      </c:catAx>
      <c:valAx>
        <c:axId val="261761280"/>
        <c:scaling>
          <c:orientation val="minMax"/>
        </c:scaling>
        <c:delete val="1"/>
        <c:axPos val="b"/>
        <c:numFmt formatCode="General" sourceLinked="1"/>
        <c:tickLblPos val="none"/>
        <c:crossAx val="261759744"/>
        <c:crosses val="autoZero"/>
        <c:crossBetween val="between"/>
      </c:valAx>
      <c:spPr>
        <a:noFill/>
        <a:ln w="25400">
          <a:noFill/>
        </a:ln>
      </c:spPr>
    </c:plotArea>
    <c:legend>
      <c:legendPos val="t"/>
      <c:layout>
        <c:manualLayout>
          <c:xMode val="edge"/>
          <c:yMode val="edge"/>
          <c:x val="0.70501208371303659"/>
          <c:y val="1.6802330756130999E-2"/>
          <c:w val="0.27596796030060328"/>
          <c:h val="0.168653940864777"/>
        </c:manualLayout>
      </c:layout>
      <c:txPr>
        <a:bodyPr/>
        <a:lstStyle/>
        <a:p>
          <a:pPr>
            <a:defRPr sz="800"/>
          </a:pPr>
          <a:endParaRPr lang="nb-NO"/>
        </a:p>
      </c:txPr>
    </c:legend>
    <c:plotVisOnly val="1"/>
    <c:dispBlanksAs val="gap"/>
  </c:chart>
  <c:spPr>
    <a:ln>
      <a:noFill/>
    </a:ln>
  </c:spPr>
  <c:txPr>
    <a:bodyPr/>
    <a:lstStyle/>
    <a:p>
      <a:pPr>
        <a:defRPr>
          <a:latin typeface="Arial" pitchFamily="34" charset="0"/>
          <a:cs typeface="Arial" pitchFamily="34" charset="0"/>
        </a:defRPr>
      </a:pPr>
      <a:endParaRPr lang="nb-NO"/>
    </a:p>
  </c:tx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barChart>
        <c:barDir val="bar"/>
        <c:grouping val="stacked"/>
        <c:ser>
          <c:idx val="0"/>
          <c:order val="0"/>
          <c:tx>
            <c:strRef>
              <c:f>'Fig fylker 14'!$E$1</c:f>
              <c:strCache>
                <c:ptCount val="1"/>
                <c:pt idx="0">
                  <c:v>Lønnsomhet</c:v>
                </c:pt>
              </c:strCache>
            </c:strRef>
          </c:tx>
          <c:spPr>
            <a:solidFill>
              <a:srgbClr val="0070C0"/>
            </a:solidFill>
            <a:ln>
              <a:noFill/>
            </a:ln>
            <a:effectLst/>
          </c:spPr>
          <c:dLbls>
            <c:dLbl>
              <c:idx val="2"/>
              <c:showVal val="1"/>
              <c:extLst>
                <c:ext xmlns:c15="http://schemas.microsoft.com/office/drawing/2012/chart" uri="{CE6537A1-D6FC-4f65-9D91-7224C49458BB}"/>
              </c:extLst>
            </c:dLbl>
            <c:dLbl>
              <c:idx val="4"/>
              <c:showVal val="1"/>
              <c:extLst>
                <c:ext xmlns:c15="http://schemas.microsoft.com/office/drawing/2012/chart" uri="{CE6537A1-D6FC-4f65-9D91-7224C49458BB}"/>
              </c:extLst>
            </c:dLbl>
            <c:dLbl>
              <c:idx val="6"/>
              <c:showVal val="1"/>
              <c:extLst>
                <c:ext xmlns:c15="http://schemas.microsoft.com/office/drawing/2012/chart" uri="{CE6537A1-D6FC-4f65-9D91-7224C49458BB}"/>
              </c:extLst>
            </c:dLbl>
            <c:dLbl>
              <c:idx val="8"/>
              <c:showVal val="1"/>
              <c:extLst>
                <c:ext xmlns:c15="http://schemas.microsoft.com/office/drawing/2012/chart" uri="{CE6537A1-D6FC-4f65-9D91-7224C49458BB}"/>
              </c:extLst>
            </c:dLbl>
            <c:dLbl>
              <c:idx val="10"/>
              <c:layout>
                <c:manualLayout>
                  <c:x val="-1.32772737331268E-2"/>
                  <c:y val="0"/>
                </c:manualLayout>
              </c:layout>
              <c:showVal val="1"/>
              <c:extLst>
                <c:ext xmlns:c15="http://schemas.microsoft.com/office/drawing/2012/chart" uri="{CE6537A1-D6FC-4f65-9D91-7224C49458BB}"/>
              </c:extLst>
            </c:dLbl>
            <c:dLbl>
              <c:idx val="11"/>
              <c:showVal val="1"/>
              <c:extLst>
                <c:ext xmlns:c15="http://schemas.microsoft.com/office/drawing/2012/chart" uri="{CE6537A1-D6FC-4f65-9D91-7224C49458BB}"/>
              </c:extLst>
            </c:dLbl>
            <c:dLbl>
              <c:idx val="14"/>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fylker 14'!$B$43:$C$64</c:f>
              <c:multiLvlStrCache>
                <c:ptCount val="22"/>
                <c:lvl>
                  <c:pt idx="0">
                    <c:v>Stor-Elvdal (428)</c:v>
                  </c:pt>
                  <c:pt idx="1">
                    <c:v>Engerdal (361)</c:v>
                  </c:pt>
                  <c:pt idx="2">
                    <c:v>Åsnes (331)</c:v>
                  </c:pt>
                  <c:pt idx="3">
                    <c:v>Tolga (366)</c:v>
                  </c:pt>
                  <c:pt idx="4">
                    <c:v>Grue (364)</c:v>
                  </c:pt>
                  <c:pt idx="5">
                    <c:v>Rendalen (402)</c:v>
                  </c:pt>
                  <c:pt idx="6">
                    <c:v>Våler (320)</c:v>
                  </c:pt>
                  <c:pt idx="7">
                    <c:v>Trysil (314)</c:v>
                  </c:pt>
                  <c:pt idx="8">
                    <c:v>Eidskog (353)</c:v>
                  </c:pt>
                  <c:pt idx="9">
                    <c:v>Os (365)</c:v>
                  </c:pt>
                  <c:pt idx="10">
                    <c:v>Nord-Odal (387)</c:v>
                  </c:pt>
                  <c:pt idx="11">
                    <c:v>Kongsvinger (148)</c:v>
                  </c:pt>
                  <c:pt idx="12">
                    <c:v>Løten (386)</c:v>
                  </c:pt>
                  <c:pt idx="13">
                    <c:v>Åmot (377)</c:v>
                  </c:pt>
                  <c:pt idx="14">
                    <c:v>Sør-Odal (300)</c:v>
                  </c:pt>
                  <c:pt idx="15">
                    <c:v>Stange (259)</c:v>
                  </c:pt>
                  <c:pt idx="16">
                    <c:v>Tynset (138)</c:v>
                  </c:pt>
                  <c:pt idx="17">
                    <c:v>Elverum (134)</c:v>
                  </c:pt>
                  <c:pt idx="18">
                    <c:v>Ringsaker (60)</c:v>
                  </c:pt>
                  <c:pt idx="19">
                    <c:v>Folldal (352)</c:v>
                  </c:pt>
                  <c:pt idx="20">
                    <c:v>Alvdal (105)</c:v>
                  </c:pt>
                  <c:pt idx="21">
                    <c:v>Hamar (34)</c:v>
                  </c:pt>
                </c:lvl>
                <c:lvl>
                  <c:pt idx="0">
                    <c:v>395</c:v>
                  </c:pt>
                  <c:pt idx="1">
                    <c:v>376</c:v>
                  </c:pt>
                  <c:pt idx="2">
                    <c:v>357</c:v>
                  </c:pt>
                  <c:pt idx="3">
                    <c:v>345</c:v>
                  </c:pt>
                  <c:pt idx="4">
                    <c:v>338</c:v>
                  </c:pt>
                  <c:pt idx="5">
                    <c:v>315</c:v>
                  </c:pt>
                  <c:pt idx="6">
                    <c:v>306</c:v>
                  </c:pt>
                  <c:pt idx="7">
                    <c:v>293</c:v>
                  </c:pt>
                  <c:pt idx="8">
                    <c:v>285</c:v>
                  </c:pt>
                  <c:pt idx="9">
                    <c:v>267</c:v>
                  </c:pt>
                  <c:pt idx="10">
                    <c:v>246</c:v>
                  </c:pt>
                  <c:pt idx="11">
                    <c:v>199</c:v>
                  </c:pt>
                  <c:pt idx="12">
                    <c:v>195</c:v>
                  </c:pt>
                  <c:pt idx="13">
                    <c:v>193</c:v>
                  </c:pt>
                  <c:pt idx="14">
                    <c:v>167</c:v>
                  </c:pt>
                  <c:pt idx="15">
                    <c:v>114</c:v>
                  </c:pt>
                  <c:pt idx="16">
                    <c:v>106</c:v>
                  </c:pt>
                  <c:pt idx="17">
                    <c:v>102</c:v>
                  </c:pt>
                  <c:pt idx="18">
                    <c:v>84</c:v>
                  </c:pt>
                  <c:pt idx="19">
                    <c:v>74</c:v>
                  </c:pt>
                  <c:pt idx="20">
                    <c:v>67</c:v>
                  </c:pt>
                  <c:pt idx="21">
                    <c:v>13</c:v>
                  </c:pt>
                </c:lvl>
              </c:multiLvlStrCache>
            </c:multiLvlStrRef>
          </c:cat>
          <c:val>
            <c:numRef>
              <c:f>'Fig fylker 14'!$E$43:$E$64</c:f>
              <c:numCache>
                <c:formatCode>General</c:formatCode>
                <c:ptCount val="22"/>
                <c:pt idx="0">
                  <c:v>373</c:v>
                </c:pt>
                <c:pt idx="1">
                  <c:v>350</c:v>
                </c:pt>
                <c:pt idx="2">
                  <c:v>242</c:v>
                </c:pt>
                <c:pt idx="3">
                  <c:v>383</c:v>
                </c:pt>
                <c:pt idx="4">
                  <c:v>387</c:v>
                </c:pt>
                <c:pt idx="5">
                  <c:v>126</c:v>
                </c:pt>
                <c:pt idx="6">
                  <c:v>250</c:v>
                </c:pt>
                <c:pt idx="7">
                  <c:v>404</c:v>
                </c:pt>
                <c:pt idx="8">
                  <c:v>112</c:v>
                </c:pt>
                <c:pt idx="9">
                  <c:v>37</c:v>
                </c:pt>
                <c:pt idx="10">
                  <c:v>252</c:v>
                </c:pt>
                <c:pt idx="11">
                  <c:v>310</c:v>
                </c:pt>
                <c:pt idx="12">
                  <c:v>270</c:v>
                </c:pt>
                <c:pt idx="13">
                  <c:v>254</c:v>
                </c:pt>
                <c:pt idx="14">
                  <c:v>137</c:v>
                </c:pt>
                <c:pt idx="15">
                  <c:v>48</c:v>
                </c:pt>
                <c:pt idx="16">
                  <c:v>76</c:v>
                </c:pt>
                <c:pt idx="17">
                  <c:v>198</c:v>
                </c:pt>
                <c:pt idx="18">
                  <c:v>161</c:v>
                </c:pt>
                <c:pt idx="19">
                  <c:v>108</c:v>
                </c:pt>
                <c:pt idx="20">
                  <c:v>13</c:v>
                </c:pt>
                <c:pt idx="21">
                  <c:v>97</c:v>
                </c:pt>
              </c:numCache>
            </c:numRef>
          </c:val>
        </c:ser>
        <c:ser>
          <c:idx val="1"/>
          <c:order val="1"/>
          <c:tx>
            <c:strRef>
              <c:f>'Fig fylker 14'!$F$1</c:f>
              <c:strCache>
                <c:ptCount val="1"/>
                <c:pt idx="0">
                  <c:v>Vekst</c:v>
                </c:pt>
              </c:strCache>
            </c:strRef>
          </c:tx>
          <c:spPr>
            <a:solidFill>
              <a:srgbClr val="FF99CC"/>
            </a:solidFill>
            <a:ln>
              <a:noFill/>
            </a:ln>
            <a:effectLst/>
          </c:spPr>
          <c:dLbls>
            <c:dLbl>
              <c:idx val="2"/>
              <c:showVal val="1"/>
              <c:extLst>
                <c:ext xmlns:c15="http://schemas.microsoft.com/office/drawing/2012/chart" uri="{CE6537A1-D6FC-4f65-9D91-7224C49458BB}"/>
              </c:extLst>
            </c:dLbl>
            <c:dLbl>
              <c:idx val="4"/>
              <c:showVal val="1"/>
              <c:extLst>
                <c:ext xmlns:c15="http://schemas.microsoft.com/office/drawing/2012/chart" uri="{CE6537A1-D6FC-4f65-9D91-7224C49458BB}"/>
              </c:extLst>
            </c:dLbl>
            <c:dLbl>
              <c:idx val="6"/>
              <c:showVal val="1"/>
              <c:extLst>
                <c:ext xmlns:c15="http://schemas.microsoft.com/office/drawing/2012/chart" uri="{CE6537A1-D6FC-4f65-9D91-7224C49458BB}"/>
              </c:extLst>
            </c:dLbl>
            <c:dLbl>
              <c:idx val="8"/>
              <c:showVal val="1"/>
              <c:extLst>
                <c:ext xmlns:c15="http://schemas.microsoft.com/office/drawing/2012/chart" uri="{CE6537A1-D6FC-4f65-9D91-7224C49458BB}"/>
              </c:extLst>
            </c:dLbl>
            <c:dLbl>
              <c:idx val="10"/>
              <c:showVal val="1"/>
              <c:extLst>
                <c:ext xmlns:c15="http://schemas.microsoft.com/office/drawing/2012/chart" uri="{CE6537A1-D6FC-4f65-9D91-7224C49458BB}"/>
              </c:extLst>
            </c:dLbl>
            <c:dLbl>
              <c:idx val="11"/>
              <c:showVal val="1"/>
              <c:extLst>
                <c:ext xmlns:c15="http://schemas.microsoft.com/office/drawing/2012/chart" uri="{CE6537A1-D6FC-4f65-9D91-7224C49458BB}"/>
              </c:extLst>
            </c:dLbl>
            <c:dLbl>
              <c:idx val="14"/>
              <c:layout>
                <c:manualLayout>
                  <c:x val="2.2128789555211241E-2"/>
                  <c:y val="-2.0167389331451034E-3"/>
                </c:manualLayout>
              </c:layout>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fylker 14'!$B$43:$C$64</c:f>
              <c:multiLvlStrCache>
                <c:ptCount val="22"/>
                <c:lvl>
                  <c:pt idx="0">
                    <c:v>Stor-Elvdal (428)</c:v>
                  </c:pt>
                  <c:pt idx="1">
                    <c:v>Engerdal (361)</c:v>
                  </c:pt>
                  <c:pt idx="2">
                    <c:v>Åsnes (331)</c:v>
                  </c:pt>
                  <c:pt idx="3">
                    <c:v>Tolga (366)</c:v>
                  </c:pt>
                  <c:pt idx="4">
                    <c:v>Grue (364)</c:v>
                  </c:pt>
                  <c:pt idx="5">
                    <c:v>Rendalen (402)</c:v>
                  </c:pt>
                  <c:pt idx="6">
                    <c:v>Våler (320)</c:v>
                  </c:pt>
                  <c:pt idx="7">
                    <c:v>Trysil (314)</c:v>
                  </c:pt>
                  <c:pt idx="8">
                    <c:v>Eidskog (353)</c:v>
                  </c:pt>
                  <c:pt idx="9">
                    <c:v>Os (365)</c:v>
                  </c:pt>
                  <c:pt idx="10">
                    <c:v>Nord-Odal (387)</c:v>
                  </c:pt>
                  <c:pt idx="11">
                    <c:v>Kongsvinger (148)</c:v>
                  </c:pt>
                  <c:pt idx="12">
                    <c:v>Løten (386)</c:v>
                  </c:pt>
                  <c:pt idx="13">
                    <c:v>Åmot (377)</c:v>
                  </c:pt>
                  <c:pt idx="14">
                    <c:v>Sør-Odal (300)</c:v>
                  </c:pt>
                  <c:pt idx="15">
                    <c:v>Stange (259)</c:v>
                  </c:pt>
                  <c:pt idx="16">
                    <c:v>Tynset (138)</c:v>
                  </c:pt>
                  <c:pt idx="17">
                    <c:v>Elverum (134)</c:v>
                  </c:pt>
                  <c:pt idx="18">
                    <c:v>Ringsaker (60)</c:v>
                  </c:pt>
                  <c:pt idx="19">
                    <c:v>Folldal (352)</c:v>
                  </c:pt>
                  <c:pt idx="20">
                    <c:v>Alvdal (105)</c:v>
                  </c:pt>
                  <c:pt idx="21">
                    <c:v>Hamar (34)</c:v>
                  </c:pt>
                </c:lvl>
                <c:lvl>
                  <c:pt idx="0">
                    <c:v>395</c:v>
                  </c:pt>
                  <c:pt idx="1">
                    <c:v>376</c:v>
                  </c:pt>
                  <c:pt idx="2">
                    <c:v>357</c:v>
                  </c:pt>
                  <c:pt idx="3">
                    <c:v>345</c:v>
                  </c:pt>
                  <c:pt idx="4">
                    <c:v>338</c:v>
                  </c:pt>
                  <c:pt idx="5">
                    <c:v>315</c:v>
                  </c:pt>
                  <c:pt idx="6">
                    <c:v>306</c:v>
                  </c:pt>
                  <c:pt idx="7">
                    <c:v>293</c:v>
                  </c:pt>
                  <c:pt idx="8">
                    <c:v>285</c:v>
                  </c:pt>
                  <c:pt idx="9">
                    <c:v>267</c:v>
                  </c:pt>
                  <c:pt idx="10">
                    <c:v>246</c:v>
                  </c:pt>
                  <c:pt idx="11">
                    <c:v>199</c:v>
                  </c:pt>
                  <c:pt idx="12">
                    <c:v>195</c:v>
                  </c:pt>
                  <c:pt idx="13">
                    <c:v>193</c:v>
                  </c:pt>
                  <c:pt idx="14">
                    <c:v>167</c:v>
                  </c:pt>
                  <c:pt idx="15">
                    <c:v>114</c:v>
                  </c:pt>
                  <c:pt idx="16">
                    <c:v>106</c:v>
                  </c:pt>
                  <c:pt idx="17">
                    <c:v>102</c:v>
                  </c:pt>
                  <c:pt idx="18">
                    <c:v>84</c:v>
                  </c:pt>
                  <c:pt idx="19">
                    <c:v>74</c:v>
                  </c:pt>
                  <c:pt idx="20">
                    <c:v>67</c:v>
                  </c:pt>
                  <c:pt idx="21">
                    <c:v>13</c:v>
                  </c:pt>
                </c:lvl>
              </c:multiLvlStrCache>
            </c:multiLvlStrRef>
          </c:cat>
          <c:val>
            <c:numRef>
              <c:f>'Fig fylker 14'!$F$43:$F$64</c:f>
              <c:numCache>
                <c:formatCode>General</c:formatCode>
                <c:ptCount val="22"/>
                <c:pt idx="0">
                  <c:v>199</c:v>
                </c:pt>
                <c:pt idx="1">
                  <c:v>165</c:v>
                </c:pt>
                <c:pt idx="2">
                  <c:v>259</c:v>
                </c:pt>
                <c:pt idx="3">
                  <c:v>189</c:v>
                </c:pt>
                <c:pt idx="4">
                  <c:v>191</c:v>
                </c:pt>
                <c:pt idx="5">
                  <c:v>366</c:v>
                </c:pt>
                <c:pt idx="6">
                  <c:v>125</c:v>
                </c:pt>
                <c:pt idx="7">
                  <c:v>169</c:v>
                </c:pt>
                <c:pt idx="8">
                  <c:v>344</c:v>
                </c:pt>
                <c:pt idx="9">
                  <c:v>200</c:v>
                </c:pt>
                <c:pt idx="10">
                  <c:v>50</c:v>
                </c:pt>
                <c:pt idx="11">
                  <c:v>258</c:v>
                </c:pt>
                <c:pt idx="12">
                  <c:v>28</c:v>
                </c:pt>
                <c:pt idx="13">
                  <c:v>72</c:v>
                </c:pt>
                <c:pt idx="14">
                  <c:v>32</c:v>
                </c:pt>
                <c:pt idx="15">
                  <c:v>98</c:v>
                </c:pt>
                <c:pt idx="16">
                  <c:v>120</c:v>
                </c:pt>
                <c:pt idx="17">
                  <c:v>179</c:v>
                </c:pt>
                <c:pt idx="18">
                  <c:v>139</c:v>
                </c:pt>
                <c:pt idx="19">
                  <c:v>8</c:v>
                </c:pt>
                <c:pt idx="20">
                  <c:v>133</c:v>
                </c:pt>
                <c:pt idx="21">
                  <c:v>184</c:v>
                </c:pt>
              </c:numCache>
            </c:numRef>
          </c:val>
        </c:ser>
        <c:ser>
          <c:idx val="2"/>
          <c:order val="2"/>
          <c:tx>
            <c:strRef>
              <c:f>'Fig fylker 14'!$G$1</c:f>
              <c:strCache>
                <c:ptCount val="1"/>
                <c:pt idx="0">
                  <c:v>Nyetablering</c:v>
                </c:pt>
              </c:strCache>
            </c:strRef>
          </c:tx>
          <c:spPr>
            <a:solidFill>
              <a:srgbClr val="00B050"/>
            </a:solidFill>
            <a:ln>
              <a:noFill/>
            </a:ln>
            <a:effectLst/>
          </c:spPr>
          <c:dLbls>
            <c:dLbl>
              <c:idx val="2"/>
              <c:showVal val="1"/>
              <c:extLst>
                <c:ext xmlns:c15="http://schemas.microsoft.com/office/drawing/2012/chart" uri="{CE6537A1-D6FC-4f65-9D91-7224C49458BB}"/>
              </c:extLst>
            </c:dLbl>
            <c:dLbl>
              <c:idx val="4"/>
              <c:showVal val="1"/>
              <c:extLst>
                <c:ext xmlns:c15="http://schemas.microsoft.com/office/drawing/2012/chart" uri="{CE6537A1-D6FC-4f65-9D91-7224C49458BB}"/>
              </c:extLst>
            </c:dLbl>
            <c:dLbl>
              <c:idx val="6"/>
              <c:showVal val="1"/>
              <c:extLst>
                <c:ext xmlns:c15="http://schemas.microsoft.com/office/drawing/2012/chart" uri="{CE6537A1-D6FC-4f65-9D91-7224C49458BB}"/>
              </c:extLst>
            </c:dLbl>
            <c:dLbl>
              <c:idx val="8"/>
              <c:showVal val="1"/>
              <c:extLst>
                <c:ext xmlns:c15="http://schemas.microsoft.com/office/drawing/2012/chart" uri="{CE6537A1-D6FC-4f65-9D91-7224C49458BB}"/>
              </c:extLst>
            </c:dLbl>
            <c:dLbl>
              <c:idx val="10"/>
              <c:layout>
                <c:manualLayout>
                  <c:x val="2.2128789555211331E-2"/>
                  <c:y val="0"/>
                </c:manualLayout>
              </c:layout>
              <c:showVal val="1"/>
              <c:extLst>
                <c:ext xmlns:c15="http://schemas.microsoft.com/office/drawing/2012/chart" uri="{CE6537A1-D6FC-4f65-9D91-7224C49458BB}"/>
              </c:extLst>
            </c:dLbl>
            <c:dLbl>
              <c:idx val="11"/>
              <c:showVal val="1"/>
              <c:extLst>
                <c:ext xmlns:c15="http://schemas.microsoft.com/office/drawing/2012/chart" uri="{CE6537A1-D6FC-4f65-9D91-7224C49458BB}"/>
              </c:extLst>
            </c:dLbl>
            <c:dLbl>
              <c:idx val="14"/>
              <c:layout>
                <c:manualLayout>
                  <c:x val="3.9831821199380391E-2"/>
                  <c:y val="0"/>
                </c:manualLayout>
              </c:layout>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fylker 14'!$B$43:$C$64</c:f>
              <c:multiLvlStrCache>
                <c:ptCount val="22"/>
                <c:lvl>
                  <c:pt idx="0">
                    <c:v>Stor-Elvdal (428)</c:v>
                  </c:pt>
                  <c:pt idx="1">
                    <c:v>Engerdal (361)</c:v>
                  </c:pt>
                  <c:pt idx="2">
                    <c:v>Åsnes (331)</c:v>
                  </c:pt>
                  <c:pt idx="3">
                    <c:v>Tolga (366)</c:v>
                  </c:pt>
                  <c:pt idx="4">
                    <c:v>Grue (364)</c:v>
                  </c:pt>
                  <c:pt idx="5">
                    <c:v>Rendalen (402)</c:v>
                  </c:pt>
                  <c:pt idx="6">
                    <c:v>Våler (320)</c:v>
                  </c:pt>
                  <c:pt idx="7">
                    <c:v>Trysil (314)</c:v>
                  </c:pt>
                  <c:pt idx="8">
                    <c:v>Eidskog (353)</c:v>
                  </c:pt>
                  <c:pt idx="9">
                    <c:v>Os (365)</c:v>
                  </c:pt>
                  <c:pt idx="10">
                    <c:v>Nord-Odal (387)</c:v>
                  </c:pt>
                  <c:pt idx="11">
                    <c:v>Kongsvinger (148)</c:v>
                  </c:pt>
                  <c:pt idx="12">
                    <c:v>Løten (386)</c:v>
                  </c:pt>
                  <c:pt idx="13">
                    <c:v>Åmot (377)</c:v>
                  </c:pt>
                  <c:pt idx="14">
                    <c:v>Sør-Odal (300)</c:v>
                  </c:pt>
                  <c:pt idx="15">
                    <c:v>Stange (259)</c:v>
                  </c:pt>
                  <c:pt idx="16">
                    <c:v>Tynset (138)</c:v>
                  </c:pt>
                  <c:pt idx="17">
                    <c:v>Elverum (134)</c:v>
                  </c:pt>
                  <c:pt idx="18">
                    <c:v>Ringsaker (60)</c:v>
                  </c:pt>
                  <c:pt idx="19">
                    <c:v>Folldal (352)</c:v>
                  </c:pt>
                  <c:pt idx="20">
                    <c:v>Alvdal (105)</c:v>
                  </c:pt>
                  <c:pt idx="21">
                    <c:v>Hamar (34)</c:v>
                  </c:pt>
                </c:lvl>
                <c:lvl>
                  <c:pt idx="0">
                    <c:v>395</c:v>
                  </c:pt>
                  <c:pt idx="1">
                    <c:v>376</c:v>
                  </c:pt>
                  <c:pt idx="2">
                    <c:v>357</c:v>
                  </c:pt>
                  <c:pt idx="3">
                    <c:v>345</c:v>
                  </c:pt>
                  <c:pt idx="4">
                    <c:v>338</c:v>
                  </c:pt>
                  <c:pt idx="5">
                    <c:v>315</c:v>
                  </c:pt>
                  <c:pt idx="6">
                    <c:v>306</c:v>
                  </c:pt>
                  <c:pt idx="7">
                    <c:v>293</c:v>
                  </c:pt>
                  <c:pt idx="8">
                    <c:v>285</c:v>
                  </c:pt>
                  <c:pt idx="9">
                    <c:v>267</c:v>
                  </c:pt>
                  <c:pt idx="10">
                    <c:v>246</c:v>
                  </c:pt>
                  <c:pt idx="11">
                    <c:v>199</c:v>
                  </c:pt>
                  <c:pt idx="12">
                    <c:v>195</c:v>
                  </c:pt>
                  <c:pt idx="13">
                    <c:v>193</c:v>
                  </c:pt>
                  <c:pt idx="14">
                    <c:v>167</c:v>
                  </c:pt>
                  <c:pt idx="15">
                    <c:v>114</c:v>
                  </c:pt>
                  <c:pt idx="16">
                    <c:v>106</c:v>
                  </c:pt>
                  <c:pt idx="17">
                    <c:v>102</c:v>
                  </c:pt>
                  <c:pt idx="18">
                    <c:v>84</c:v>
                  </c:pt>
                  <c:pt idx="19">
                    <c:v>74</c:v>
                  </c:pt>
                  <c:pt idx="20">
                    <c:v>67</c:v>
                  </c:pt>
                  <c:pt idx="21">
                    <c:v>13</c:v>
                  </c:pt>
                </c:lvl>
              </c:multiLvlStrCache>
            </c:multiLvlStrRef>
          </c:cat>
          <c:val>
            <c:numRef>
              <c:f>'Fig fylker 14'!$G$43:$G$64</c:f>
              <c:numCache>
                <c:formatCode>General</c:formatCode>
                <c:ptCount val="22"/>
                <c:pt idx="0">
                  <c:v>334</c:v>
                </c:pt>
                <c:pt idx="1">
                  <c:v>360</c:v>
                </c:pt>
                <c:pt idx="2">
                  <c:v>393</c:v>
                </c:pt>
                <c:pt idx="3">
                  <c:v>288</c:v>
                </c:pt>
                <c:pt idx="4">
                  <c:v>288</c:v>
                </c:pt>
                <c:pt idx="5">
                  <c:v>267</c:v>
                </c:pt>
                <c:pt idx="6">
                  <c:v>384</c:v>
                </c:pt>
                <c:pt idx="7">
                  <c:v>209</c:v>
                </c:pt>
                <c:pt idx="8">
                  <c:v>170</c:v>
                </c:pt>
                <c:pt idx="9">
                  <c:v>391</c:v>
                </c:pt>
                <c:pt idx="10">
                  <c:v>214</c:v>
                </c:pt>
                <c:pt idx="11">
                  <c:v>38</c:v>
                </c:pt>
                <c:pt idx="12">
                  <c:v>89</c:v>
                </c:pt>
                <c:pt idx="13">
                  <c:v>109</c:v>
                </c:pt>
                <c:pt idx="14">
                  <c:v>230</c:v>
                </c:pt>
                <c:pt idx="15">
                  <c:v>150</c:v>
                </c:pt>
                <c:pt idx="16">
                  <c:v>404</c:v>
                </c:pt>
                <c:pt idx="17">
                  <c:v>69</c:v>
                </c:pt>
                <c:pt idx="18">
                  <c:v>170</c:v>
                </c:pt>
                <c:pt idx="19">
                  <c:v>233</c:v>
                </c:pt>
                <c:pt idx="20">
                  <c:v>381</c:v>
                </c:pt>
                <c:pt idx="21">
                  <c:v>47</c:v>
                </c:pt>
              </c:numCache>
            </c:numRef>
          </c:val>
        </c:ser>
        <c:ser>
          <c:idx val="3"/>
          <c:order val="3"/>
          <c:tx>
            <c:strRef>
              <c:f>'Fig fylker 14'!$H$1</c:f>
              <c:strCache>
                <c:ptCount val="1"/>
                <c:pt idx="0">
                  <c:v>Størrelse</c:v>
                </c:pt>
              </c:strCache>
            </c:strRef>
          </c:tx>
          <c:spPr>
            <a:solidFill>
              <a:srgbClr val="FFC000"/>
            </a:solidFill>
            <a:ln>
              <a:noFill/>
            </a:ln>
            <a:effectLst/>
          </c:spPr>
          <c:dLbls>
            <c:dLbl>
              <c:idx val="2"/>
              <c:showVal val="1"/>
              <c:extLst>
                <c:ext xmlns:c15="http://schemas.microsoft.com/office/drawing/2012/chart" uri="{CE6537A1-D6FC-4f65-9D91-7224C49458BB}"/>
              </c:extLst>
            </c:dLbl>
            <c:dLbl>
              <c:idx val="4"/>
              <c:showVal val="1"/>
              <c:extLst>
                <c:ext xmlns:c15="http://schemas.microsoft.com/office/drawing/2012/chart" uri="{CE6537A1-D6FC-4f65-9D91-7224C49458BB}"/>
              </c:extLst>
            </c:dLbl>
            <c:dLbl>
              <c:idx val="6"/>
              <c:showVal val="1"/>
              <c:extLst>
                <c:ext xmlns:c15="http://schemas.microsoft.com/office/drawing/2012/chart" uri="{CE6537A1-D6FC-4f65-9D91-7224C49458BB}"/>
              </c:extLst>
            </c:dLbl>
            <c:dLbl>
              <c:idx val="8"/>
              <c:showVal val="1"/>
              <c:extLst>
                <c:ext xmlns:c15="http://schemas.microsoft.com/office/drawing/2012/chart" uri="{CE6537A1-D6FC-4f65-9D91-7224C49458BB}"/>
              </c:extLst>
            </c:dLbl>
            <c:dLbl>
              <c:idx val="10"/>
              <c:layout>
                <c:manualLayout>
                  <c:x val="1.770303164416899E-2"/>
                  <c:y val="0"/>
                </c:manualLayout>
              </c:layout>
              <c:showVal val="1"/>
              <c:extLst>
                <c:ext xmlns:c15="http://schemas.microsoft.com/office/drawing/2012/chart" uri="{CE6537A1-D6FC-4f65-9D91-7224C49458BB}"/>
              </c:extLst>
            </c:dLbl>
            <c:dLbl>
              <c:idx val="11"/>
              <c:showVal val="1"/>
              <c:extLst>
                <c:ext xmlns:c15="http://schemas.microsoft.com/office/drawing/2012/chart" uri="{CE6537A1-D6FC-4f65-9D91-7224C49458BB}"/>
              </c:extLst>
            </c:dLbl>
            <c:dLbl>
              <c:idx val="14"/>
              <c:layout>
                <c:manualLayout>
                  <c:x val="4.8683337021464844E-2"/>
                  <c:y val="0"/>
                </c:manualLayout>
              </c:layout>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fylker 14'!$B$43:$C$64</c:f>
              <c:multiLvlStrCache>
                <c:ptCount val="22"/>
                <c:lvl>
                  <c:pt idx="0">
                    <c:v>Stor-Elvdal (428)</c:v>
                  </c:pt>
                  <c:pt idx="1">
                    <c:v>Engerdal (361)</c:v>
                  </c:pt>
                  <c:pt idx="2">
                    <c:v>Åsnes (331)</c:v>
                  </c:pt>
                  <c:pt idx="3">
                    <c:v>Tolga (366)</c:v>
                  </c:pt>
                  <c:pt idx="4">
                    <c:v>Grue (364)</c:v>
                  </c:pt>
                  <c:pt idx="5">
                    <c:v>Rendalen (402)</c:v>
                  </c:pt>
                  <c:pt idx="6">
                    <c:v>Våler (320)</c:v>
                  </c:pt>
                  <c:pt idx="7">
                    <c:v>Trysil (314)</c:v>
                  </c:pt>
                  <c:pt idx="8">
                    <c:v>Eidskog (353)</c:v>
                  </c:pt>
                  <c:pt idx="9">
                    <c:v>Os (365)</c:v>
                  </c:pt>
                  <c:pt idx="10">
                    <c:v>Nord-Odal (387)</c:v>
                  </c:pt>
                  <c:pt idx="11">
                    <c:v>Kongsvinger (148)</c:v>
                  </c:pt>
                  <c:pt idx="12">
                    <c:v>Løten (386)</c:v>
                  </c:pt>
                  <c:pt idx="13">
                    <c:v>Åmot (377)</c:v>
                  </c:pt>
                  <c:pt idx="14">
                    <c:v>Sør-Odal (300)</c:v>
                  </c:pt>
                  <c:pt idx="15">
                    <c:v>Stange (259)</c:v>
                  </c:pt>
                  <c:pt idx="16">
                    <c:v>Tynset (138)</c:v>
                  </c:pt>
                  <c:pt idx="17">
                    <c:v>Elverum (134)</c:v>
                  </c:pt>
                  <c:pt idx="18">
                    <c:v>Ringsaker (60)</c:v>
                  </c:pt>
                  <c:pt idx="19">
                    <c:v>Folldal (352)</c:v>
                  </c:pt>
                  <c:pt idx="20">
                    <c:v>Alvdal (105)</c:v>
                  </c:pt>
                  <c:pt idx="21">
                    <c:v>Hamar (34)</c:v>
                  </c:pt>
                </c:lvl>
                <c:lvl>
                  <c:pt idx="0">
                    <c:v>395</c:v>
                  </c:pt>
                  <c:pt idx="1">
                    <c:v>376</c:v>
                  </c:pt>
                  <c:pt idx="2">
                    <c:v>357</c:v>
                  </c:pt>
                  <c:pt idx="3">
                    <c:v>345</c:v>
                  </c:pt>
                  <c:pt idx="4">
                    <c:v>338</c:v>
                  </c:pt>
                  <c:pt idx="5">
                    <c:v>315</c:v>
                  </c:pt>
                  <c:pt idx="6">
                    <c:v>306</c:v>
                  </c:pt>
                  <c:pt idx="7">
                    <c:v>293</c:v>
                  </c:pt>
                  <c:pt idx="8">
                    <c:v>285</c:v>
                  </c:pt>
                  <c:pt idx="9">
                    <c:v>267</c:v>
                  </c:pt>
                  <c:pt idx="10">
                    <c:v>246</c:v>
                  </c:pt>
                  <c:pt idx="11">
                    <c:v>199</c:v>
                  </c:pt>
                  <c:pt idx="12">
                    <c:v>195</c:v>
                  </c:pt>
                  <c:pt idx="13">
                    <c:v>193</c:v>
                  </c:pt>
                  <c:pt idx="14">
                    <c:v>167</c:v>
                  </c:pt>
                  <c:pt idx="15">
                    <c:v>114</c:v>
                  </c:pt>
                  <c:pt idx="16">
                    <c:v>106</c:v>
                  </c:pt>
                  <c:pt idx="17">
                    <c:v>102</c:v>
                  </c:pt>
                  <c:pt idx="18">
                    <c:v>84</c:v>
                  </c:pt>
                  <c:pt idx="19">
                    <c:v>74</c:v>
                  </c:pt>
                  <c:pt idx="20">
                    <c:v>67</c:v>
                  </c:pt>
                  <c:pt idx="21">
                    <c:v>13</c:v>
                  </c:pt>
                </c:lvl>
              </c:multiLvlStrCache>
            </c:multiLvlStrRef>
          </c:cat>
          <c:val>
            <c:numRef>
              <c:f>'Fig fylker 14'!$H$43:$H$64</c:f>
              <c:numCache>
                <c:formatCode>0</c:formatCode>
                <c:ptCount val="22"/>
                <c:pt idx="0">
                  <c:v>358</c:v>
                </c:pt>
                <c:pt idx="1">
                  <c:v>322</c:v>
                </c:pt>
                <c:pt idx="2">
                  <c:v>253</c:v>
                </c:pt>
                <c:pt idx="3">
                  <c:v>277</c:v>
                </c:pt>
                <c:pt idx="4">
                  <c:v>258</c:v>
                </c:pt>
                <c:pt idx="5">
                  <c:v>295</c:v>
                </c:pt>
                <c:pt idx="6">
                  <c:v>268</c:v>
                </c:pt>
                <c:pt idx="7">
                  <c:v>207</c:v>
                </c:pt>
                <c:pt idx="8">
                  <c:v>351</c:v>
                </c:pt>
                <c:pt idx="9">
                  <c:v>309</c:v>
                </c:pt>
                <c:pt idx="10">
                  <c:v>375</c:v>
                </c:pt>
                <c:pt idx="11">
                  <c:v>197</c:v>
                </c:pt>
                <c:pt idx="12">
                  <c:v>412</c:v>
                </c:pt>
                <c:pt idx="13">
                  <c:v>361</c:v>
                </c:pt>
                <c:pt idx="14">
                  <c:v>355</c:v>
                </c:pt>
                <c:pt idx="15">
                  <c:v>373</c:v>
                </c:pt>
                <c:pt idx="16">
                  <c:v>54</c:v>
                </c:pt>
                <c:pt idx="17">
                  <c:v>196</c:v>
                </c:pt>
                <c:pt idx="18">
                  <c:v>136</c:v>
                </c:pt>
                <c:pt idx="19">
                  <c:v>243</c:v>
                </c:pt>
                <c:pt idx="20">
                  <c:v>58</c:v>
                </c:pt>
                <c:pt idx="21">
                  <c:v>24</c:v>
                </c:pt>
              </c:numCache>
            </c:numRef>
          </c:val>
        </c:ser>
        <c:gapWidth val="30"/>
        <c:overlap val="100"/>
        <c:axId val="262945792"/>
        <c:axId val="262992640"/>
      </c:barChart>
      <c:catAx>
        <c:axId val="26294579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62992640"/>
        <c:crosses val="autoZero"/>
        <c:auto val="1"/>
        <c:lblAlgn val="ctr"/>
        <c:lblOffset val="100"/>
      </c:catAx>
      <c:valAx>
        <c:axId val="262992640"/>
        <c:scaling>
          <c:orientation val="minMax"/>
          <c:max val="1700"/>
          <c:min val="0"/>
        </c:scaling>
        <c:delete val="1"/>
        <c:axPos val="b"/>
        <c:majorGridlines>
          <c:spPr>
            <a:ln w="9525" cap="flat" cmpd="sng" algn="ctr">
              <a:solidFill>
                <a:schemeClr val="tx1">
                  <a:lumMod val="15000"/>
                  <a:lumOff val="85000"/>
                </a:schemeClr>
              </a:solidFill>
              <a:round/>
            </a:ln>
            <a:effectLst/>
          </c:spPr>
        </c:majorGridlines>
        <c:numFmt formatCode="General" sourceLinked="1"/>
        <c:tickLblPos val="none"/>
        <c:crossAx val="26294579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'Antall arbeidsplasser'!$K$18</c:f>
              <c:strCache>
                <c:ptCount val="1"/>
                <c:pt idx="0">
                  <c:v>Privat</c:v>
                </c:pt>
              </c:strCache>
            </c:strRef>
          </c:tx>
          <c:spPr>
            <a:solidFill>
              <a:schemeClr val="accent1"/>
            </a:solidFill>
            <a:ln>
              <a:noFill/>
            </a:ln>
            <a:effectLst/>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'Antall arbeidsplasser'!$J$19:$J$32</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'Antall arbeidsplasser'!$K$19:$K$32</c:f>
              <c:numCache>
                <c:formatCode>#,##0</c:formatCode>
                <c:ptCount val="14"/>
                <c:pt idx="0">
                  <c:v>13577</c:v>
                </c:pt>
                <c:pt idx="1">
                  <c:v>13574</c:v>
                </c:pt>
                <c:pt idx="2">
                  <c:v>13348</c:v>
                </c:pt>
                <c:pt idx="3">
                  <c:v>13262</c:v>
                </c:pt>
                <c:pt idx="4">
                  <c:v>13401</c:v>
                </c:pt>
                <c:pt idx="5">
                  <c:v>13534</c:v>
                </c:pt>
                <c:pt idx="6">
                  <c:v>13973</c:v>
                </c:pt>
                <c:pt idx="7">
                  <c:v>14213</c:v>
                </c:pt>
                <c:pt idx="8">
                  <c:v>14486</c:v>
                </c:pt>
                <c:pt idx="9">
                  <c:v>13609</c:v>
                </c:pt>
                <c:pt idx="10">
                  <c:v>13250</c:v>
                </c:pt>
                <c:pt idx="11">
                  <c:v>13105</c:v>
                </c:pt>
                <c:pt idx="12">
                  <c:v>13189</c:v>
                </c:pt>
                <c:pt idx="13">
                  <c:v>12882</c:v>
                </c:pt>
              </c:numCache>
            </c:numRef>
          </c:val>
        </c:ser>
        <c:ser>
          <c:idx val="1"/>
          <c:order val="1"/>
          <c:tx>
            <c:strRef>
              <c:f>'Antall arbeidsplasser'!$L$18</c:f>
              <c:strCache>
                <c:ptCount val="1"/>
                <c:pt idx="0">
                  <c:v>Offentlig</c:v>
                </c:pt>
              </c:strCache>
            </c:strRef>
          </c:tx>
          <c:spPr>
            <a:solidFill>
              <a:schemeClr val="accent2"/>
            </a:solidFill>
            <a:ln>
              <a:noFill/>
            </a:ln>
            <a:effectLst/>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nb-NO"/>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'Antall arbeidsplasser'!$J$19:$J$32</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'Antall arbeidsplasser'!$L$19:$L$32</c:f>
              <c:numCache>
                <c:formatCode>#,##0</c:formatCode>
                <c:ptCount val="14"/>
                <c:pt idx="0">
                  <c:v>7294</c:v>
                </c:pt>
                <c:pt idx="1">
                  <c:v>7620</c:v>
                </c:pt>
                <c:pt idx="2">
                  <c:v>7466</c:v>
                </c:pt>
                <c:pt idx="3">
                  <c:v>7310</c:v>
                </c:pt>
                <c:pt idx="4">
                  <c:v>7544</c:v>
                </c:pt>
                <c:pt idx="5">
                  <c:v>7011</c:v>
                </c:pt>
                <c:pt idx="6">
                  <c:v>7020</c:v>
                </c:pt>
                <c:pt idx="7">
                  <c:v>7121</c:v>
                </c:pt>
                <c:pt idx="8">
                  <c:v>7170</c:v>
                </c:pt>
                <c:pt idx="9">
                  <c:v>7322</c:v>
                </c:pt>
                <c:pt idx="10">
                  <c:v>7471</c:v>
                </c:pt>
                <c:pt idx="11">
                  <c:v>7463</c:v>
                </c:pt>
                <c:pt idx="12">
                  <c:v>7561</c:v>
                </c:pt>
                <c:pt idx="13">
                  <c:v>7583</c:v>
                </c:pt>
              </c:numCache>
            </c:numRef>
          </c:val>
        </c:ser>
        <c:gapWidth val="30"/>
        <c:overlap val="100"/>
        <c:axId val="219094016"/>
        <c:axId val="219108096"/>
      </c:barChart>
      <c:catAx>
        <c:axId val="219094016"/>
        <c:scaling>
          <c:orientation val="minMax"/>
        </c:scaling>
        <c:axPos val="b"/>
        <c:numFmt formatCode="General" sourceLinked="0"/>
        <c:maj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19108096"/>
        <c:crosses val="autoZero"/>
        <c:auto val="1"/>
        <c:lblAlgn val="ctr"/>
        <c:lblOffset val="100"/>
      </c:catAx>
      <c:valAx>
        <c:axId val="219108096"/>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1909401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1819772528437"/>
          <c:y val="5.5268023121413427E-2"/>
          <c:w val="0.79287069116360465"/>
          <c:h val="0.83006145475899962"/>
        </c:manualLayout>
      </c:layout>
      <c:lineChart>
        <c:grouping val="standard"/>
        <c:ser>
          <c:idx val="0"/>
          <c:order val="0"/>
          <c:tx>
            <c:strRef>
              <c:f>'Indeks priv off'!$M$26</c:f>
              <c:strCache>
                <c:ptCount val="1"/>
                <c:pt idx="0">
                  <c:v>Glåmdal privat</c:v>
                </c:pt>
              </c:strCache>
            </c:strRef>
          </c:tx>
          <c:spPr>
            <a:ln w="28575" cap="rnd">
              <a:solidFill>
                <a:schemeClr val="accent1"/>
              </a:solidFill>
              <a:round/>
            </a:ln>
            <a:effectLst/>
          </c:spPr>
          <c:marker>
            <c:symbol val="none"/>
          </c:marker>
          <c:dLbls>
            <c:dLbl>
              <c:idx val="13"/>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'Indeks priv off'!$L$27:$L$40</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'Indeks priv off'!$M$27:$M$40</c:f>
              <c:numCache>
                <c:formatCode>0.0</c:formatCode>
                <c:ptCount val="14"/>
                <c:pt idx="0" formatCode="0">
                  <c:v>100</c:v>
                </c:pt>
                <c:pt idx="1">
                  <c:v>99.977903807910437</c:v>
                </c:pt>
                <c:pt idx="2">
                  <c:v>98.313324003830004</c:v>
                </c:pt>
                <c:pt idx="3">
                  <c:v>97.679899830595815</c:v>
                </c:pt>
                <c:pt idx="4">
                  <c:v>98.703690064078984</c:v>
                </c:pt>
                <c:pt idx="5">
                  <c:v>99.683287913382884</c:v>
                </c:pt>
                <c:pt idx="6">
                  <c:v>102.91669735582236</c:v>
                </c:pt>
                <c:pt idx="7">
                  <c:v>104.68439272298737</c:v>
                </c:pt>
                <c:pt idx="8">
                  <c:v>106.69514620313767</c:v>
                </c:pt>
                <c:pt idx="9">
                  <c:v>100.23569271562201</c:v>
                </c:pt>
                <c:pt idx="10">
                  <c:v>97.591515062237647</c:v>
                </c:pt>
                <c:pt idx="11">
                  <c:v>96.52353244457538</c:v>
                </c:pt>
                <c:pt idx="12">
                  <c:v>97.142225823083152</c:v>
                </c:pt>
                <c:pt idx="13">
                  <c:v>94.881048832584426</c:v>
                </c:pt>
              </c:numCache>
            </c:numRef>
          </c:val>
        </c:ser>
        <c:ser>
          <c:idx val="1"/>
          <c:order val="1"/>
          <c:tx>
            <c:strRef>
              <c:f>'Indeks priv off'!$N$26</c:f>
              <c:strCache>
                <c:ptCount val="1"/>
                <c:pt idx="0">
                  <c:v>Glåmdal offentlig</c:v>
                </c:pt>
              </c:strCache>
            </c:strRef>
          </c:tx>
          <c:spPr>
            <a:ln w="28575" cap="rnd">
              <a:solidFill>
                <a:schemeClr val="accent2"/>
              </a:solidFill>
              <a:round/>
            </a:ln>
            <a:effectLst/>
          </c:spPr>
          <c:marker>
            <c:symbol val="none"/>
          </c:marker>
          <c:dLbls>
            <c:dLbl>
              <c:idx val="13"/>
              <c:layout>
                <c:manualLayout>
                  <c:x val="0"/>
                  <c:y val="0"/>
                </c:manualLayout>
              </c:layout>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'Indeks priv off'!$L$27:$L$40</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'Indeks priv off'!$N$27:$N$40</c:f>
              <c:numCache>
                <c:formatCode>0.0</c:formatCode>
                <c:ptCount val="14"/>
                <c:pt idx="0" formatCode="General">
                  <c:v>100</c:v>
                </c:pt>
                <c:pt idx="1">
                  <c:v>104.46942692624077</c:v>
                </c:pt>
                <c:pt idx="2">
                  <c:v>102.35810255004108</c:v>
                </c:pt>
                <c:pt idx="3">
                  <c:v>100.21935837674798</c:v>
                </c:pt>
                <c:pt idx="4">
                  <c:v>103.42747463668768</c:v>
                </c:pt>
                <c:pt idx="5">
                  <c:v>96.120098711269506</c:v>
                </c:pt>
                <c:pt idx="6">
                  <c:v>96.243487798190301</c:v>
                </c:pt>
                <c:pt idx="7">
                  <c:v>97.628187551412069</c:v>
                </c:pt>
                <c:pt idx="8">
                  <c:v>98.299972580202905</c:v>
                </c:pt>
                <c:pt idx="9">
                  <c:v>100.38387715930899</c:v>
                </c:pt>
                <c:pt idx="10">
                  <c:v>102.42665204277488</c:v>
                </c:pt>
                <c:pt idx="11">
                  <c:v>102.31697285440082</c:v>
                </c:pt>
                <c:pt idx="12">
                  <c:v>103.66054291198245</c:v>
                </c:pt>
                <c:pt idx="13">
                  <c:v>103.96216068001102</c:v>
                </c:pt>
              </c:numCache>
            </c:numRef>
          </c:val>
        </c:ser>
        <c:ser>
          <c:idx val="2"/>
          <c:order val="2"/>
          <c:tx>
            <c:strRef>
              <c:f>'Indeks priv off'!$O$26</c:f>
              <c:strCache>
                <c:ptCount val="1"/>
                <c:pt idx="0">
                  <c:v>Norge privat</c:v>
                </c:pt>
              </c:strCache>
            </c:strRef>
          </c:tx>
          <c:spPr>
            <a:ln w="28575" cap="rnd">
              <a:solidFill>
                <a:schemeClr val="accent1">
                  <a:lumMod val="40000"/>
                  <a:lumOff val="60000"/>
                </a:schemeClr>
              </a:solidFill>
              <a:prstDash val="sysDash"/>
              <a:round/>
            </a:ln>
            <a:effectLst/>
          </c:spPr>
          <c:marker>
            <c:symbol val="none"/>
          </c:marker>
          <c:dLbls>
            <c:dLbl>
              <c:idx val="13"/>
              <c:layout>
                <c:manualLayout>
                  <c:x val="0"/>
                  <c:y val="0"/>
                </c:manualLayout>
              </c:layout>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'Indeks priv off'!$L$27:$L$40</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'Indeks priv off'!$O$27:$O$40</c:f>
              <c:numCache>
                <c:formatCode>0.0</c:formatCode>
                <c:ptCount val="14"/>
                <c:pt idx="0" formatCode="General">
                  <c:v>100</c:v>
                </c:pt>
                <c:pt idx="1">
                  <c:v>100.82055115958367</c:v>
                </c:pt>
                <c:pt idx="2">
                  <c:v>100.16296682550801</c:v>
                </c:pt>
                <c:pt idx="3">
                  <c:v>98.727489186328114</c:v>
                </c:pt>
                <c:pt idx="4">
                  <c:v>99.436652457852603</c:v>
                </c:pt>
                <c:pt idx="5">
                  <c:v>101.63186711355841</c:v>
                </c:pt>
                <c:pt idx="6">
                  <c:v>105.97530367806198</c:v>
                </c:pt>
                <c:pt idx="7">
                  <c:v>111.35226655190719</c:v>
                </c:pt>
                <c:pt idx="8">
                  <c:v>113.40392716124236</c:v>
                </c:pt>
                <c:pt idx="9">
                  <c:v>110.40619198547496</c:v>
                </c:pt>
                <c:pt idx="10">
                  <c:v>110.76334942688324</c:v>
                </c:pt>
                <c:pt idx="11">
                  <c:v>112.53286508118502</c:v>
                </c:pt>
                <c:pt idx="12">
                  <c:v>113.85123780026196</c:v>
                </c:pt>
                <c:pt idx="13">
                  <c:v>114.63685852230425</c:v>
                </c:pt>
              </c:numCache>
            </c:numRef>
          </c:val>
        </c:ser>
        <c:ser>
          <c:idx val="3"/>
          <c:order val="3"/>
          <c:tx>
            <c:strRef>
              <c:f>'Indeks priv off'!$P$26</c:f>
              <c:strCache>
                <c:ptCount val="1"/>
                <c:pt idx="0">
                  <c:v>Norge offentlig</c:v>
                </c:pt>
              </c:strCache>
            </c:strRef>
          </c:tx>
          <c:spPr>
            <a:ln w="28575" cap="rnd">
              <a:solidFill>
                <a:schemeClr val="accent2">
                  <a:lumMod val="60000"/>
                  <a:lumOff val="40000"/>
                </a:schemeClr>
              </a:solidFill>
              <a:prstDash val="sysDash"/>
              <a:round/>
            </a:ln>
            <a:effectLst/>
          </c:spPr>
          <c:marker>
            <c:symbol val="none"/>
          </c:marker>
          <c:dLbls>
            <c:dLbl>
              <c:idx val="13"/>
              <c:layout>
                <c:manualLayout>
                  <c:x val="-3.5555555555555575E-3"/>
                  <c:y val="-7.1781057600625569E-3"/>
                </c:manualLayout>
              </c:layout>
              <c:showVal val="1"/>
              <c:extLst>
                <c:ext xmlns:c15="http://schemas.microsoft.com/office/drawing/2012/chart" uri="{CE6537A1-D6FC-4f65-9D91-7224C49458BB}">
                  <c15:layout/>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'Indeks priv off'!$L$27:$L$40</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'Indeks priv off'!$P$27:$P$40</c:f>
              <c:numCache>
                <c:formatCode>0.0</c:formatCode>
                <c:ptCount val="14"/>
                <c:pt idx="0" formatCode="General">
                  <c:v>100</c:v>
                </c:pt>
                <c:pt idx="1">
                  <c:v>99.990899121989074</c:v>
                </c:pt>
                <c:pt idx="2">
                  <c:v>100.35896249990674</c:v>
                </c:pt>
                <c:pt idx="3">
                  <c:v>102.72354964081374</c:v>
                </c:pt>
                <c:pt idx="4">
                  <c:v>103.1281657254966</c:v>
                </c:pt>
                <c:pt idx="5">
                  <c:v>102.98762429785238</c:v>
                </c:pt>
                <c:pt idx="6">
                  <c:v>104.75767047361863</c:v>
                </c:pt>
                <c:pt idx="7">
                  <c:v>106.16204038701109</c:v>
                </c:pt>
                <c:pt idx="8">
                  <c:v>107.40677194840845</c:v>
                </c:pt>
                <c:pt idx="9">
                  <c:v>110.34829507732016</c:v>
                </c:pt>
                <c:pt idx="10">
                  <c:v>112.48401751546031</c:v>
                </c:pt>
                <c:pt idx="11">
                  <c:v>114.99556145703566</c:v>
                </c:pt>
                <c:pt idx="12">
                  <c:v>115.89296770680251</c:v>
                </c:pt>
                <c:pt idx="13">
                  <c:v>118.50312935928326</c:v>
                </c:pt>
              </c:numCache>
            </c:numRef>
          </c:val>
        </c:ser>
        <c:marker val="1"/>
        <c:axId val="235081728"/>
        <c:axId val="235083264"/>
      </c:lineChart>
      <c:catAx>
        <c:axId val="2350817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35083264"/>
        <c:crosses val="autoZero"/>
        <c:auto val="1"/>
        <c:lblAlgn val="ctr"/>
        <c:lblOffset val="100"/>
      </c:catAx>
      <c:valAx>
        <c:axId val="235083264"/>
        <c:scaling>
          <c:orientation val="minMax"/>
          <c:max val="120"/>
          <c:min val="9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235081728"/>
        <c:crosses val="autoZero"/>
        <c:crossBetween val="between"/>
      </c:valAx>
      <c:spPr>
        <a:noFill/>
        <a:ln>
          <a:noFill/>
        </a:ln>
        <a:effectLst/>
      </c:spPr>
    </c:plotArea>
    <c:legend>
      <c:legendPos val="t"/>
      <c:layout>
        <c:manualLayout>
          <c:xMode val="edge"/>
          <c:yMode val="edge"/>
          <c:x val="0.13009637795275589"/>
          <c:y val="4.0926224333326398E-2"/>
          <c:w val="0.52291807524059519"/>
          <c:h val="0.3353023197716121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2"/>
</c:chartSpace>
</file>

<file path=word/theme/theme1.xml><?xml version="1.0" encoding="utf-8"?>
<a:theme xmlns:a="http://schemas.openxmlformats.org/drawingml/2006/main" name="Office Theme">
  <a:themeElements>
    <a:clrScheme name="TF farger">
      <a:dk1>
        <a:sysClr val="windowText" lastClr="000000"/>
      </a:dk1>
      <a:lt1>
        <a:srgbClr val="FFFFFF"/>
      </a:lt1>
      <a:dk2>
        <a:srgbClr val="000000"/>
      </a:dk2>
      <a:lt2>
        <a:srgbClr val="FFFFFF"/>
      </a:lt2>
      <a:accent1>
        <a:srgbClr val="00546D"/>
      </a:accent1>
      <a:accent2>
        <a:srgbClr val="B1C88A"/>
      </a:accent2>
      <a:accent3>
        <a:srgbClr val="807F83"/>
      </a:accent3>
      <a:accent4>
        <a:srgbClr val="AF6F65"/>
      </a:accent4>
      <a:accent5>
        <a:srgbClr val="A89443"/>
      </a:accent5>
      <a:accent6>
        <a:srgbClr val="718F80"/>
      </a:accent6>
      <a:hlink>
        <a:srgbClr val="00546D"/>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4F81BD"/>
    </a:accent1>
    <a:accent2>
      <a:srgbClr val="C0504D"/>
    </a:accent2>
    <a:accent3>
      <a:srgbClr val="FAC08F"/>
    </a:accent3>
    <a:accent4>
      <a:srgbClr val="8064A2"/>
    </a:accent4>
    <a:accent5>
      <a:srgbClr val="4BACC6"/>
    </a:accent5>
    <a:accent6>
      <a:srgbClr val="9BBB59"/>
    </a:accent6>
    <a:hlink>
      <a:srgbClr val="0000FF"/>
    </a:hlink>
    <a:folHlink>
      <a:srgbClr val="800080"/>
    </a:folHlink>
  </a:clrScheme>
  <a:fontScheme name="Custom 2">
    <a:majorFont>
      <a:latin typeface="Droid Sans Mono"/>
      <a:ea typeface=""/>
      <a:cs typeface=""/>
    </a:majorFont>
    <a:minorFont>
      <a:latin typeface="Droid Sans Mon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2CC3C-CA82-47CA-9D9D-819AFB621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TF-notat A4</Template>
  <TotalTime>5</TotalTime>
  <Pages>74</Pages>
  <Words>20850</Words>
  <Characters>110510</Characters>
  <Application>Microsoft Office Word</Application>
  <DocSecurity>0</DocSecurity>
  <Lines>920</Lines>
  <Paragraphs>262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Felt</Company>
  <LinksUpToDate>false</LinksUpToDate>
  <CharactersWithSpaces>131098</CharactersWithSpaces>
  <SharedDoc>false</SharedDoc>
  <HyperlinkBase/>
  <HLinks>
    <vt:vector size="36" baseType="variant">
      <vt:variant>
        <vt:i4>1048625</vt:i4>
      </vt:variant>
      <vt:variant>
        <vt:i4>80</vt:i4>
      </vt:variant>
      <vt:variant>
        <vt:i4>0</vt:i4>
      </vt:variant>
      <vt:variant>
        <vt:i4>5</vt:i4>
      </vt:variant>
      <vt:variant>
        <vt:lpwstr/>
      </vt:variant>
      <vt:variant>
        <vt:lpwstr>_Toc220400318</vt:lpwstr>
      </vt:variant>
      <vt:variant>
        <vt:i4>1048625</vt:i4>
      </vt:variant>
      <vt:variant>
        <vt:i4>74</vt:i4>
      </vt:variant>
      <vt:variant>
        <vt:i4>0</vt:i4>
      </vt:variant>
      <vt:variant>
        <vt:i4>5</vt:i4>
      </vt:variant>
      <vt:variant>
        <vt:lpwstr/>
      </vt:variant>
      <vt:variant>
        <vt:lpwstr>_Toc220400317</vt:lpwstr>
      </vt:variant>
      <vt:variant>
        <vt:i4>1048625</vt:i4>
      </vt:variant>
      <vt:variant>
        <vt:i4>66</vt:i4>
      </vt:variant>
      <vt:variant>
        <vt:i4>0</vt:i4>
      </vt:variant>
      <vt:variant>
        <vt:i4>5</vt:i4>
      </vt:variant>
      <vt:variant>
        <vt:lpwstr/>
      </vt:variant>
      <vt:variant>
        <vt:lpwstr>_Toc220400316</vt:lpwstr>
      </vt:variant>
      <vt:variant>
        <vt:i4>1048625</vt:i4>
      </vt:variant>
      <vt:variant>
        <vt:i4>56</vt:i4>
      </vt:variant>
      <vt:variant>
        <vt:i4>0</vt:i4>
      </vt:variant>
      <vt:variant>
        <vt:i4>5</vt:i4>
      </vt:variant>
      <vt:variant>
        <vt:lpwstr/>
      </vt:variant>
      <vt:variant>
        <vt:lpwstr>_Toc220400315</vt:lpwstr>
      </vt:variant>
      <vt:variant>
        <vt:i4>1048625</vt:i4>
      </vt:variant>
      <vt:variant>
        <vt:i4>48</vt:i4>
      </vt:variant>
      <vt:variant>
        <vt:i4>0</vt:i4>
      </vt:variant>
      <vt:variant>
        <vt:i4>5</vt:i4>
      </vt:variant>
      <vt:variant>
        <vt:lpwstr/>
      </vt:variant>
      <vt:variant>
        <vt:lpwstr>_Toc220400314</vt:lpwstr>
      </vt:variant>
      <vt:variant>
        <vt:i4>1048625</vt:i4>
      </vt:variant>
      <vt:variant>
        <vt:i4>42</vt:i4>
      </vt:variant>
      <vt:variant>
        <vt:i4>0</vt:i4>
      </vt:variant>
      <vt:variant>
        <vt:i4>5</vt:i4>
      </vt:variant>
      <vt:variant>
        <vt:lpwstr/>
      </vt:variant>
      <vt:variant>
        <vt:lpwstr>_Toc220400313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 Owren Nygaard</dc:creator>
  <cp:lastModifiedBy>KK12023</cp:lastModifiedBy>
  <cp:revision>2</cp:revision>
  <cp:lastPrinted>2015-01-19T09:00:00Z</cp:lastPrinted>
  <dcterms:created xsi:type="dcterms:W3CDTF">2015-01-29T21:00:00Z</dcterms:created>
  <dcterms:modified xsi:type="dcterms:W3CDTF">2015-01-29T21:00:00Z</dcterms:modified>
</cp:coreProperties>
</file>